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77425"/>
      <w:bookmarkStart w:id="4" w:name="_Toc15378441"/>
      <w:bookmarkStart w:id="5" w:name="_Toc16841"/>
      <w:bookmarkStart w:id="6" w:name="_Toc10632"/>
      <w:bookmarkStart w:id="7"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8" w:name="_Toc15377194"/>
      <w:bookmarkStart w:id="9" w:name="_Toc15396476"/>
      <w:bookmarkStart w:id="10" w:name="_Toc15378442"/>
      <w:bookmarkStart w:id="11" w:name="_Toc32531"/>
      <w:bookmarkStart w:id="12" w:name="_Toc15377426"/>
      <w:bookmarkStart w:id="13" w:name="_Toc15396598"/>
      <w:bookmarkStart w:id="14" w:name="_Toc1169"/>
      <w:r>
        <w:rPr>
          <w:rFonts w:hint="eastAsia" w:ascii="方正小标宋简体" w:hAnsi="方正小标宋简体" w:eastAsia="方正小标宋简体" w:cs="方正小标宋简体"/>
          <w:sz w:val="56"/>
          <w:szCs w:val="56"/>
        </w:rPr>
        <w:t>攀枝花市</w:t>
      </w:r>
      <w:bookmarkEnd w:id="0"/>
      <w:bookmarkStart w:id="15" w:name="_Toc15306268"/>
      <w:r>
        <w:rPr>
          <w:rFonts w:hint="eastAsia" w:ascii="方正小标宋简体" w:hAnsi="方正小标宋简体" w:eastAsia="方正小标宋简体" w:cs="方正小标宋简体"/>
          <w:sz w:val="56"/>
          <w:szCs w:val="56"/>
          <w:lang w:val="en-US" w:eastAsia="zh-CN"/>
        </w:rPr>
        <w:t>攀枝花市经贸旅游学校</w:t>
      </w:r>
      <w:r>
        <w:rPr>
          <w:rFonts w:hint="eastAsia" w:ascii="方正小标宋简体" w:hAnsi="方正小标宋简体" w:eastAsia="方正小标宋简体" w:cs="方正小标宋简体"/>
          <w:sz w:val="56"/>
          <w:szCs w:val="56"/>
        </w:rPr>
        <w:t>单位决算</w:t>
      </w:r>
      <w:bookmarkEnd w:id="8"/>
      <w:bookmarkEnd w:id="9"/>
      <w:bookmarkEnd w:id="10"/>
      <w:bookmarkEnd w:id="11"/>
      <w:bookmarkEnd w:id="12"/>
      <w:bookmarkEnd w:id="13"/>
      <w:bookmarkEnd w:id="14"/>
      <w:bookmarkEnd w:id="15"/>
    </w:p>
    <w:p>
      <w:pPr>
        <w:rPr>
          <w:rFonts w:hint="eastAsia" w:ascii="黑体" w:hAnsi="黑体" w:eastAsia="黑体"/>
          <w:sz w:val="48"/>
          <w:szCs w:val="48"/>
        </w:rPr>
      </w:pPr>
      <w:r>
        <w:rPr>
          <w:rFonts w:ascii="方正小标宋简体" w:hAnsi="宋体" w:eastAsia="方正小标宋简体"/>
          <w:sz w:val="36"/>
          <w:szCs w:val="36"/>
        </w:rPr>
        <w:br w:type="page"/>
      </w:r>
    </w:p>
    <w:sdt>
      <w:sdtPr>
        <w:rPr>
          <w:rFonts w:hint="eastAsia" w:ascii="黑体" w:hAnsi="黑体" w:eastAsia="黑体" w:cs="黑体"/>
          <w:kern w:val="2"/>
          <w:sz w:val="32"/>
          <w:szCs w:val="32"/>
          <w:lang w:val="en-US" w:eastAsia="zh-CN" w:bidi="ar-SA"/>
        </w:rPr>
        <w:id w:val="147470701"/>
        <w15:color w:val="DBDBDB"/>
        <w:docPartObj>
          <w:docPartGallery w:val="Table of Contents"/>
          <w:docPartUnique/>
        </w:docPartObj>
      </w:sdtPr>
      <w:sdtEndPr>
        <w:rPr>
          <w:rFonts w:hint="eastAsia" w:ascii="黑体" w:hAnsi="黑体" w:eastAsia="黑体" w:cs="黑体"/>
          <w:b/>
          <w:kern w:val="2"/>
          <w:sz w:val="32"/>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黑体" w:hAnsi="黑体" w:eastAsia="黑体" w:cs="黑体"/>
              <w:kern w:val="2"/>
              <w:sz w:val="32"/>
              <w:szCs w:val="32"/>
              <w:lang w:val="en-US" w:eastAsia="zh-CN" w:bidi="ar-SA"/>
            </w:rPr>
          </w:pPr>
        </w:p>
        <w:p>
          <w:pPr>
            <w:widowControl/>
            <w:jc w:val="center"/>
            <w:rPr>
              <w:rFonts w:hint="eastAsia" w:ascii="黑体" w:hAnsi="黑体" w:eastAsia="黑体" w:cs="Times New Roman"/>
              <w:sz w:val="48"/>
              <w:szCs w:val="48"/>
            </w:rPr>
          </w:pPr>
          <w:r>
            <w:rPr>
              <w:rFonts w:hint="eastAsia" w:ascii="黑体" w:hAnsi="黑体" w:eastAsia="黑体" w:cs="Times New Roman"/>
              <w:sz w:val="48"/>
              <w:szCs w:val="48"/>
            </w:rPr>
            <w:t>目</w:t>
          </w:r>
          <w:r>
            <w:rPr>
              <w:rFonts w:hint="eastAsia" w:ascii="黑体" w:hAnsi="黑体" w:eastAsia="黑体" w:cs="Times New Roman"/>
              <w:sz w:val="48"/>
              <w:szCs w:val="48"/>
              <w:lang w:val="en-US" w:eastAsia="zh-CN"/>
            </w:rPr>
            <w:t xml:space="preserve">  </w:t>
          </w:r>
          <w:r>
            <w:rPr>
              <w:rFonts w:hint="eastAsia" w:ascii="黑体" w:hAnsi="黑体" w:eastAsia="黑体" w:cs="Times New Roman"/>
              <w:sz w:val="48"/>
              <w:szCs w:val="48"/>
            </w:rPr>
            <w:t>录</w:t>
          </w:r>
        </w:p>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cs="仿宋"/>
              <w:b w:val="0"/>
              <w:bCs w:val="0"/>
              <w:sz w:val="28"/>
              <w:szCs w:val="28"/>
            </w:rPr>
          </w:pPr>
          <w:r>
            <w:rPr>
              <w:rFonts w:hint="eastAsia"/>
              <w:b/>
              <w:bCs/>
              <w:sz w:val="28"/>
              <w:szCs w:val="28"/>
            </w:rPr>
            <w:t>公开时间：</w:t>
          </w:r>
          <w:r>
            <w:rPr>
              <w:rFonts w:hint="eastAsia"/>
              <w:sz w:val="28"/>
              <w:szCs w:val="28"/>
            </w:rPr>
            <w:t>2023年9月</w:t>
          </w:r>
          <w:r>
            <w:rPr>
              <w:sz w:val="28"/>
              <w:szCs w:val="28"/>
            </w:rPr>
            <w:t>1</w:t>
          </w:r>
          <w:r>
            <w:rPr>
              <w:rFonts w:hint="eastAsia"/>
              <w:sz w:val="28"/>
              <w:szCs w:val="28"/>
              <w:lang w:val="en-US" w:eastAsia="zh-CN"/>
            </w:rPr>
            <w:t>5</w:t>
          </w:r>
          <w:bookmarkStart w:id="105" w:name="_GoBack"/>
          <w:bookmarkEnd w:id="105"/>
          <w:r>
            <w:rPr>
              <w:rFonts w:hint="eastAsia"/>
              <w:sz w:val="28"/>
              <w:szCs w:val="28"/>
            </w:rPr>
            <w:t>日</w:t>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TOC \o "1-2" \h \u </w:instrText>
          </w:r>
          <w:r>
            <w:rPr>
              <w:rFonts w:hint="eastAsia" w:ascii="仿宋" w:hAnsi="仿宋" w:eastAsia="仿宋" w:cs="仿宋"/>
              <w:b w:val="0"/>
              <w:bCs w:val="0"/>
              <w:sz w:val="28"/>
              <w:szCs w:val="28"/>
            </w:rPr>
            <w:fldChar w:fldCharType="separate"/>
          </w: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_Toc571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第一部分 单位概况</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_Toc571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_Toc66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一、 主要职责</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_Toc66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_Toc10756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二、机构设置</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_Toc10756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_Toc10476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第二部分 2022年度单位决算情况说明</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_Toc10476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_Toc16540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一、 收入支出决算总体情况说明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_Toc16540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_Toc24966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二、 收入决算情况说明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_Toc24966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_Toc31522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三、 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_Toc31522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_Toc16337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四、财政拨款收入支出决算总体情况说明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_Toc16337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_Toc19511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五、一般公共预算财政拨款支出决算情况说明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_Toc19511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_Toc4472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六、一般公共预算财政拨款基本支出决算情况说明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_Toc4472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_Toc20241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七、财政拨款“三公”经费支出决算情况说明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_Toc20241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_Toc5832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八、政府性基金预算支出决算情况说明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_Toc5832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_Toc27338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九、 国有资本经营预算支出决算情况说明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_Toc27338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_Toc10052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十、 其他重要事项的情况说明</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_Toc10052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_Toc23177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第三部分 名词解释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_Toc23177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_Toc4110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第四部分 附件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_Toc4110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0"/>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_Toc25053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第五部分 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_Toc25053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_Toc5353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一、收入支出决算总表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_Toc5353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_Toc9052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二、收入决算表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_Toc9052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_Toc24878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三、支出决算表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_Toc24878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_Toc3177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四、财政拨款收入支出决算总表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_Toc3177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_Toc15380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五、财政拨款支出决算明细表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_Toc15380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_Toc15023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六、一般公共预算财政拨款支出决算表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_Toc15023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_Toc28927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七、一般公共预算财政拨款支出决算明细表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_Toc28927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_Toc26327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八、一般公共预算财政拨款基本支出决算表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_Toc26327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_Toc28001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九、一般公共预算财政拨款项目支出决算表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_Toc28001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_Toc19004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十、政府性基金预算财政拨款收入支出决算表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_Toc19004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_Toc10289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十一、国有资本经营预算财政拨款收入支出决算表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_Toc10289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_Toc7921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十二、国有资本经营预算财政拨款支出决算表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_Toc7921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_Toc32326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十三、财政拨款“三公”经费支出决算表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_Toc32326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0"/>
            <w:jc w:val="both"/>
          </w:pPr>
          <w:r>
            <w:rPr>
              <w:rFonts w:hint="eastAsia" w:ascii="仿宋" w:hAnsi="仿宋" w:eastAsia="仿宋" w:cs="仿宋"/>
              <w:b w:val="0"/>
              <w:bCs w:val="0"/>
              <w:sz w:val="28"/>
              <w:szCs w:val="28"/>
            </w:rPr>
            <w:fldChar w:fldCharType="end"/>
          </w:r>
        </w:p>
      </w:sdtContent>
    </w:sdt>
    <w:p>
      <w:pPr>
        <w:pStyle w:val="3"/>
        <w:jc w:val="center"/>
        <w:rPr>
          <w:rStyle w:val="24"/>
          <w:rFonts w:ascii="黑体" w:hAnsi="黑体" w:eastAsia="黑体"/>
          <w:b/>
          <w:bCs w:val="0"/>
        </w:rPr>
      </w:pPr>
      <w:bookmarkStart w:id="16" w:name="_Toc15396599"/>
      <w:bookmarkStart w:id="17" w:name="_Toc15377196"/>
      <w:bookmarkStart w:id="18" w:name="_Toc571"/>
      <w:r>
        <w:rPr>
          <w:rFonts w:hint="eastAsia" w:ascii="黑体" w:hAnsi="黑体" w:eastAsia="黑体"/>
          <w:b w:val="0"/>
        </w:rPr>
        <w:t>第一部分 单位</w:t>
      </w:r>
      <w:r>
        <w:rPr>
          <w:rStyle w:val="24"/>
          <w:rFonts w:hint="eastAsia" w:ascii="黑体" w:hAnsi="黑体" w:eastAsia="黑体"/>
          <w:b w:val="0"/>
          <w:bCs w:val="0"/>
        </w:rPr>
        <w:t>概况</w:t>
      </w:r>
      <w:bookmarkEnd w:id="16"/>
      <w:bookmarkEnd w:id="17"/>
      <w:bookmarkEnd w:id="18"/>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9" w:name="_Toc66"/>
      <w:bookmarkStart w:id="20" w:name="_Toc15377197"/>
      <w:bookmarkStart w:id="21" w:name="_Toc15396600"/>
      <w:r>
        <w:rPr>
          <w:rStyle w:val="25"/>
          <w:rFonts w:hint="eastAsia" w:ascii="黑体" w:hAnsi="黑体" w:eastAsia="黑体"/>
          <w:b w:val="0"/>
          <w:bCs w:val="0"/>
        </w:rPr>
        <w:t>主要职责</w:t>
      </w:r>
      <w:bookmarkEnd w:id="19"/>
    </w:p>
    <w:p>
      <w:pPr>
        <w:widowControl/>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是一所国家级重点中等职业学校，也是由教育部、人社部、财政部正式批准的《国家中等职业教育改革发展示范学校建设计划》第三批立项建设学校。我校始建于1981年，原名“渡口市汽车运输职工技校”，隶属于渡口市汽车运输公司，1991年更名为“攀枝花市经济学校”，2000年移交给攀枝花市教育局管理。2001年与“攀枝花市第一职业中学”合并更名为“攀枝花市经贸旅游学校”，2012年“攀枝花市信息职业技术学校”并入我校。社会信用代码：12510300450960973Y。住所：攀枝花市仁和区攀枝花大道南段322号；经费来源：核定收支、定额（定项）补助；开办资金：人民币13442.2万元。举办单位：攀枝花市教育和体育局。</w:t>
      </w:r>
    </w:p>
    <w:p>
      <w:pPr>
        <w:widowControl/>
        <w:spacing w:line="600" w:lineRule="exact"/>
        <w:ind w:firstLine="640" w:firstLineChars="200"/>
        <w:rPr>
          <w:rFonts w:hint="eastAsia"/>
        </w:rPr>
      </w:pPr>
      <w:r>
        <w:rPr>
          <w:rFonts w:hint="eastAsia" w:ascii="仿宋_GB2312" w:hAnsi="仿宋" w:eastAsia="仿宋_GB2312"/>
          <w:sz w:val="32"/>
          <w:szCs w:val="32"/>
        </w:rPr>
        <w:t>学校主要职能是培养中专学历技术应用人才，提高社会职业素质。开办了高星级饭店运营与管理、旅游服务与管理、中餐烹饪与营养膳食、航空服务、会计、市场营销、物流服务与管理、计算机应用、电子技术应用、机电技术应用、机械加工技术、汽车制造及检修、铁道运输管理、学前教育、现代农艺技术等专业学历教育；相关职业培训。</w:t>
      </w:r>
    </w:p>
    <w:p>
      <w:pPr>
        <w:pStyle w:val="4"/>
        <w:rPr>
          <w:rFonts w:ascii="黑体" w:hAnsi="黑体" w:eastAsia="黑体"/>
          <w:b w:val="0"/>
        </w:rPr>
      </w:pPr>
      <w:bookmarkStart w:id="22" w:name="_Toc10756"/>
      <w:r>
        <w:rPr>
          <w:rFonts w:hint="eastAsia" w:ascii="黑体" w:hAnsi="黑体" w:eastAsia="黑体"/>
          <w:b w:val="0"/>
        </w:rPr>
        <w:t>二、机构设置</w:t>
      </w:r>
      <w:bookmarkEnd w:id="22"/>
    </w:p>
    <w:bookmarkEnd w:id="20"/>
    <w:bookmarkEnd w:id="21"/>
    <w:p>
      <w:pPr>
        <w:widowControl/>
        <w:jc w:val="left"/>
        <w:rPr>
          <w:rFonts w:ascii="仿宋" w:hAnsi="仿宋" w:eastAsia="仿宋"/>
          <w:kern w:val="0"/>
          <w:sz w:val="32"/>
          <w:szCs w:val="32"/>
        </w:rPr>
      </w:pPr>
      <w:r>
        <w:rPr>
          <w:rFonts w:hint="eastAsia" w:ascii="仿宋" w:hAnsi="仿宋" w:eastAsia="仿宋"/>
          <w:sz w:val="32"/>
          <w:szCs w:val="32"/>
          <w:lang w:val="en-US" w:eastAsia="zh-CN"/>
        </w:rPr>
        <w:t xml:space="preserve">  </w:t>
      </w:r>
      <w:r>
        <w:rPr>
          <w:rFonts w:hint="eastAsia" w:ascii="仿宋" w:hAnsi="仿宋" w:eastAsia="仿宋"/>
          <w:color w:val="auto"/>
          <w:sz w:val="32"/>
          <w:szCs w:val="32"/>
          <w:lang w:val="en-US" w:eastAsia="zh-CN"/>
        </w:rPr>
        <w:t xml:space="preserve"> 学校依据攀编发【2022】34号文核准内设机构18个，分别是行政办公室、党委办公室、纪检监察组综合科、群团工作中心、财务科、江南校区教务和培训科、江北校区教务和培训科、江南校区学生和安全科、江北校区学生和安全科、江南校区总务科、江北校区总务科、招生就业指导科、信息宣传科、农经专业部、旅游专业部、信息技术专业部、艺术师范部、综合专业部。</w:t>
      </w:r>
      <w:r>
        <w:rPr>
          <w:rFonts w:ascii="仿宋" w:hAnsi="仿宋" w:eastAsia="仿宋"/>
          <w:sz w:val="32"/>
          <w:szCs w:val="32"/>
        </w:rPr>
        <w:br w:type="page"/>
      </w:r>
    </w:p>
    <w:p>
      <w:pPr>
        <w:pStyle w:val="3"/>
        <w:ind w:right="440"/>
        <w:jc w:val="center"/>
        <w:rPr>
          <w:rStyle w:val="24"/>
          <w:rFonts w:ascii="黑体" w:hAnsi="黑体" w:eastAsia="黑体"/>
          <w:b w:val="0"/>
          <w:bCs/>
        </w:rPr>
      </w:pPr>
      <w:bookmarkStart w:id="23" w:name="_Toc10476"/>
      <w:bookmarkStart w:id="24" w:name="_Toc15396602"/>
      <w:bookmarkStart w:id="25"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23"/>
      <w:bookmarkEnd w:id="24"/>
      <w:bookmarkEnd w:id="25"/>
    </w:p>
    <w:p/>
    <w:p>
      <w:pPr>
        <w:pStyle w:val="23"/>
        <w:numPr>
          <w:ilvl w:val="0"/>
          <w:numId w:val="2"/>
        </w:numPr>
        <w:spacing w:line="600" w:lineRule="exact"/>
        <w:ind w:firstLineChars="0"/>
        <w:outlineLvl w:val="1"/>
        <w:rPr>
          <w:rStyle w:val="25"/>
          <w:rFonts w:ascii="黑体" w:hAnsi="黑体" w:eastAsia="黑体"/>
          <w:b w:val="0"/>
        </w:rPr>
      </w:pPr>
      <w:bookmarkStart w:id="26" w:name="_Toc16540"/>
      <w:bookmarkStart w:id="27" w:name="_Toc15396603"/>
      <w:bookmarkStart w:id="28"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9718.62</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186.01</w:t>
      </w:r>
      <w:r>
        <w:rPr>
          <w:rFonts w:hint="eastAsia" w:ascii="仿宋" w:hAnsi="仿宋" w:eastAsia="仿宋"/>
          <w:sz w:val="32"/>
          <w:szCs w:val="32"/>
        </w:rPr>
        <w:t>万元，增长</w:t>
      </w:r>
      <w:r>
        <w:rPr>
          <w:rFonts w:hint="eastAsia" w:ascii="仿宋" w:hAnsi="仿宋" w:eastAsia="仿宋"/>
          <w:sz w:val="32"/>
          <w:szCs w:val="32"/>
          <w:lang w:val="en-US" w:eastAsia="zh-CN"/>
        </w:rPr>
        <w:t>1.91</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rPr>
        <w:t>增加人员经费中的补充医保</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pPr>
      <w:r>
        <w:drawing>
          <wp:inline distT="0" distB="0" distL="114300" distR="114300">
            <wp:extent cx="5038725" cy="2816225"/>
            <wp:effectExtent l="4445" t="4445" r="5080"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9" w:name="_Toc15377206"/>
      <w:bookmarkStart w:id="30" w:name="_Toc24966"/>
      <w:bookmarkStart w:id="31" w:name="_Toc15396604"/>
      <w:r>
        <w:rPr>
          <w:rFonts w:hint="eastAsia" w:ascii="黑体" w:hAnsi="黑体" w:eastAsia="黑体"/>
          <w:sz w:val="32"/>
          <w:szCs w:val="32"/>
        </w:rPr>
        <w:t>收</w:t>
      </w:r>
      <w:r>
        <w:rPr>
          <w:rStyle w:val="25"/>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5962"/>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9620.06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9322.09</w:t>
      </w:r>
      <w:r>
        <w:rPr>
          <w:rFonts w:hint="eastAsia" w:ascii="仿宋" w:hAnsi="仿宋" w:eastAsia="仿宋"/>
          <w:sz w:val="32"/>
          <w:szCs w:val="32"/>
        </w:rPr>
        <w:t>万元，占</w:t>
      </w:r>
      <w:r>
        <w:rPr>
          <w:rFonts w:hint="eastAsia" w:ascii="仿宋" w:hAnsi="仿宋" w:eastAsia="仿宋"/>
          <w:sz w:val="32"/>
          <w:szCs w:val="32"/>
          <w:lang w:val="en-US" w:eastAsia="zh-CN"/>
        </w:rPr>
        <w:t>96.90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192.63</w:t>
      </w:r>
      <w:r>
        <w:rPr>
          <w:rFonts w:hint="eastAsia" w:ascii="仿宋" w:hAnsi="仿宋" w:eastAsia="仿宋"/>
          <w:sz w:val="32"/>
          <w:szCs w:val="32"/>
        </w:rPr>
        <w:t>万元，占</w:t>
      </w:r>
      <w:r>
        <w:rPr>
          <w:rFonts w:hint="eastAsia" w:ascii="仿宋" w:hAnsi="仿宋" w:eastAsia="仿宋"/>
          <w:sz w:val="32"/>
          <w:szCs w:val="32"/>
          <w:lang w:val="en-US" w:eastAsia="zh-CN"/>
        </w:rPr>
        <w:t>2.01</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105.34</w:t>
      </w:r>
      <w:r>
        <w:rPr>
          <w:rFonts w:hint="eastAsia" w:ascii="仿宋" w:hAnsi="仿宋" w:eastAsia="仿宋"/>
          <w:sz w:val="32"/>
          <w:szCs w:val="32"/>
        </w:rPr>
        <w:t>万元，占</w:t>
      </w:r>
      <w:r>
        <w:rPr>
          <w:rFonts w:hint="eastAsia" w:ascii="仿宋" w:hAnsi="仿宋" w:eastAsia="仿宋"/>
          <w:sz w:val="32"/>
          <w:szCs w:val="32"/>
          <w:lang w:val="en-US" w:eastAsia="zh-CN"/>
        </w:rPr>
        <w:t>1.09</w:t>
      </w:r>
      <w:r>
        <w:rPr>
          <w:rFonts w:ascii="仿宋" w:hAnsi="仿宋" w:eastAsia="仿宋"/>
          <w:sz w:val="32"/>
          <w:szCs w:val="32"/>
        </w:rPr>
        <w:t>%</w:t>
      </w:r>
      <w:r>
        <w:rPr>
          <w:rFonts w:hint="eastAsia" w:ascii="仿宋" w:hAnsi="仿宋" w:eastAsia="仿宋"/>
          <w:sz w:val="32"/>
          <w:szCs w:val="32"/>
        </w:rPr>
        <w:t>。</w:t>
      </w:r>
      <w:bookmarkEnd w:id="32"/>
    </w:p>
    <w:p>
      <w:pPr>
        <w:spacing w:line="600" w:lineRule="exact"/>
        <w:ind w:firstLine="640" w:firstLineChars="200"/>
        <w:jc w:val="center"/>
        <w:rPr>
          <w:rFonts w:ascii="仿宋_GB2312" w:eastAsia="仿宋_GB2312"/>
          <w:color w:val="auto"/>
          <w:sz w:val="32"/>
          <w:szCs w:val="32"/>
        </w:rPr>
      </w:pPr>
      <w:r>
        <w:rPr>
          <w:rFonts w:hint="eastAsia" w:ascii="仿宋" w:hAnsi="仿宋" w:eastAsia="仿宋"/>
          <w:color w:val="auto"/>
          <w:sz w:val="32"/>
          <w:szCs w:val="32"/>
        </w:rPr>
        <w:t>（图2：收入决算结构图）</w:t>
      </w:r>
    </w:p>
    <w:p>
      <w:pPr>
        <w:pStyle w:val="2"/>
        <w:rPr>
          <w:rFonts w:ascii="仿宋_GB2312" w:eastAsia="仿宋_GB2312"/>
          <w:sz w:val="32"/>
          <w:szCs w:val="32"/>
        </w:rPr>
      </w:pPr>
      <w:r>
        <w:rPr>
          <w:rFonts w:ascii="仿宋_GB2312" w:hAnsi="仿宋" w:eastAsia="仿宋_GB2312"/>
          <w:sz w:val="32"/>
          <w:szCs w:val="32"/>
        </w:rPr>
        <w:drawing>
          <wp:inline distT="0" distB="0" distL="114300" distR="114300">
            <wp:extent cx="4584700" cy="27559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4584700" cy="2755900"/>
                    </a:xfrm>
                    <a:prstGeom prst="rect">
                      <a:avLst/>
                    </a:prstGeom>
                    <a:noFill/>
                    <a:ln>
                      <a:noFill/>
                    </a:ln>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33" w:name="_Toc15377207"/>
      <w:bookmarkStart w:id="34" w:name="_Toc15396605"/>
      <w:bookmarkStart w:id="35" w:name="_Toc31522"/>
      <w:r>
        <w:rPr>
          <w:rFonts w:hint="eastAsia" w:ascii="黑体" w:hAnsi="黑体" w:eastAsia="黑体"/>
          <w:sz w:val="32"/>
          <w:szCs w:val="32"/>
        </w:rPr>
        <w:t>支</w:t>
      </w:r>
      <w:r>
        <w:rPr>
          <w:rStyle w:val="25"/>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shd w:val="pct10" w:color="auto" w:fill="FFFFFF"/>
        </w:rPr>
      </w:pPr>
      <w:bookmarkStart w:id="36" w:name="_Toc5150"/>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9718.62</w:t>
      </w:r>
      <w:r>
        <w:rPr>
          <w:rFonts w:hint="eastAsia" w:ascii="仿宋" w:hAnsi="仿宋" w:eastAsia="仿宋"/>
          <w:sz w:val="32"/>
          <w:szCs w:val="32"/>
        </w:rPr>
        <w:t>万元，其中：基本支出</w:t>
      </w:r>
      <w:r>
        <w:rPr>
          <w:rFonts w:hint="eastAsia" w:ascii="仿宋" w:hAnsi="仿宋" w:eastAsia="仿宋"/>
          <w:sz w:val="32"/>
          <w:szCs w:val="32"/>
          <w:lang w:val="en-US" w:eastAsia="zh-CN"/>
        </w:rPr>
        <w:t>8033.21</w:t>
      </w:r>
      <w:r>
        <w:rPr>
          <w:rFonts w:hint="eastAsia" w:ascii="仿宋" w:hAnsi="仿宋" w:eastAsia="仿宋"/>
          <w:sz w:val="32"/>
          <w:szCs w:val="32"/>
        </w:rPr>
        <w:t>万元，占</w:t>
      </w:r>
      <w:r>
        <w:rPr>
          <w:rFonts w:hint="eastAsia" w:ascii="仿宋" w:hAnsi="仿宋" w:eastAsia="仿宋"/>
          <w:sz w:val="32"/>
          <w:szCs w:val="32"/>
          <w:lang w:val="en-US" w:eastAsia="zh-CN"/>
        </w:rPr>
        <w:t>82.66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1685.41</w:t>
      </w:r>
      <w:r>
        <w:rPr>
          <w:rFonts w:hint="eastAsia" w:ascii="仿宋" w:hAnsi="仿宋" w:eastAsia="仿宋"/>
          <w:sz w:val="32"/>
          <w:szCs w:val="32"/>
        </w:rPr>
        <w:t>万元，占</w:t>
      </w:r>
      <w:r>
        <w:rPr>
          <w:rFonts w:hint="eastAsia" w:ascii="仿宋" w:hAnsi="仿宋" w:eastAsia="仿宋"/>
          <w:sz w:val="32"/>
          <w:szCs w:val="32"/>
          <w:lang w:val="en-US" w:eastAsia="zh-CN"/>
        </w:rPr>
        <w:t>17.64</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6"/>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（图3：支出决算结构图）</w:t>
      </w:r>
    </w:p>
    <w:p>
      <w:pPr>
        <w:pStyle w:val="2"/>
        <w:rPr>
          <w:rFonts w:ascii="仿宋_GB2312" w:eastAsia="仿宋_GB2312"/>
          <w:sz w:val="32"/>
          <w:szCs w:val="32"/>
        </w:rPr>
      </w:pPr>
      <w:r>
        <w:drawing>
          <wp:inline distT="0" distB="0" distL="114300" distR="114300">
            <wp:extent cx="4610100" cy="26015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610100" cy="2601595"/>
                    </a:xfrm>
                    <a:prstGeom prst="rect">
                      <a:avLst/>
                    </a:prstGeom>
                    <a:noFill/>
                    <a:ln>
                      <a:noFill/>
                    </a:ln>
                  </pic:spPr>
                </pic:pic>
              </a:graphicData>
            </a:graphic>
          </wp:inline>
        </w:drawing>
      </w:r>
    </w:p>
    <w:p>
      <w:pPr>
        <w:pStyle w:val="2"/>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37" w:name="_Toc15396606"/>
      <w:bookmarkStart w:id="38" w:name="_Toc16337"/>
      <w:bookmarkStart w:id="3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7"/>
      <w:bookmarkEnd w:id="38"/>
      <w:bookmarkEnd w:id="39"/>
    </w:p>
    <w:p>
      <w:pPr>
        <w:spacing w:line="600" w:lineRule="exact"/>
        <w:ind w:firstLine="640"/>
        <w:rPr>
          <w:rFonts w:hint="default" w:ascii="仿宋" w:hAnsi="仿宋" w:eastAsia="仿宋"/>
          <w:color w:val="auto"/>
          <w:sz w:val="32"/>
          <w:szCs w:val="32"/>
          <w:lang w:val="en-US" w:eastAsia="zh-CN"/>
        </w:rPr>
      </w:pPr>
      <w:r>
        <w:rPr>
          <w:rFonts w:ascii="仿宋" w:hAnsi="仿宋" w:eastAsia="仿宋"/>
          <w:color w:val="auto"/>
          <w:sz w:val="32"/>
          <w:szCs w:val="32"/>
        </w:rPr>
        <w:t>20</w:t>
      </w:r>
      <w:r>
        <w:rPr>
          <w:rFonts w:hint="eastAsia" w:ascii="仿宋" w:hAnsi="仿宋" w:eastAsia="仿宋"/>
          <w:color w:val="auto"/>
          <w:sz w:val="32"/>
          <w:szCs w:val="32"/>
        </w:rPr>
        <w:t>22年财政拨款收、支总计</w:t>
      </w:r>
      <w:r>
        <w:rPr>
          <w:rFonts w:hint="eastAsia" w:ascii="仿宋" w:hAnsi="仿宋" w:eastAsia="仿宋"/>
          <w:color w:val="auto"/>
          <w:sz w:val="32"/>
          <w:szCs w:val="32"/>
          <w:lang w:val="en-US" w:eastAsia="zh-CN"/>
        </w:rPr>
        <w:t>9332.90</w:t>
      </w:r>
      <w:r>
        <w:rPr>
          <w:rFonts w:hint="eastAsia" w:ascii="仿宋" w:hAnsi="仿宋" w:eastAsia="仿宋"/>
          <w:color w:val="auto"/>
          <w:sz w:val="32"/>
          <w:szCs w:val="32"/>
        </w:rPr>
        <w:t>万元。与</w:t>
      </w:r>
      <w:r>
        <w:rPr>
          <w:rFonts w:ascii="仿宋" w:hAnsi="仿宋" w:eastAsia="仿宋"/>
          <w:color w:val="auto"/>
          <w:sz w:val="32"/>
          <w:szCs w:val="32"/>
        </w:rPr>
        <w:t>20</w:t>
      </w:r>
      <w:r>
        <w:rPr>
          <w:rFonts w:hint="eastAsia" w:ascii="仿宋" w:hAnsi="仿宋" w:eastAsia="仿宋"/>
          <w:color w:val="auto"/>
          <w:sz w:val="32"/>
          <w:szCs w:val="32"/>
        </w:rPr>
        <w:t>21年相比，财政拨款收、支总计各</w:t>
      </w:r>
      <w:r>
        <w:rPr>
          <w:rFonts w:hint="eastAsia" w:ascii="仿宋" w:hAnsi="仿宋" w:eastAsia="仿宋"/>
          <w:color w:val="auto"/>
          <w:sz w:val="32"/>
          <w:szCs w:val="32"/>
          <w:lang w:val="en-US" w:eastAsia="zh-CN"/>
        </w:rPr>
        <w:t>增加67.14</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0.72</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增人增资造成财政拨款增加。</w:t>
      </w:r>
    </w:p>
    <w:p>
      <w:pPr>
        <w:spacing w:line="600" w:lineRule="exact"/>
        <w:ind w:firstLine="640" w:firstLineChars="200"/>
        <w:jc w:val="center"/>
        <w:rPr>
          <w:rFonts w:ascii="仿宋" w:hAnsi="仿宋" w:eastAsia="仿宋"/>
          <w:b/>
          <w:sz w:val="32"/>
          <w:szCs w:val="32"/>
        </w:rPr>
      </w:pPr>
      <w:r>
        <w:rPr>
          <w:rFonts w:hint="eastAsia" w:ascii="仿宋" w:hAnsi="仿宋" w:eastAsia="仿宋"/>
          <w:color w:val="auto"/>
          <w:sz w:val="32"/>
          <w:szCs w:val="32"/>
        </w:rPr>
        <w:t>（图4：财政拨款收、支决算总计变动情况）</w:t>
      </w:r>
    </w:p>
    <w:p>
      <w:pPr>
        <w:pStyle w:val="2"/>
        <w:rPr>
          <w:rFonts w:ascii="仿宋" w:hAnsi="仿宋" w:eastAsia="仿宋"/>
          <w:b/>
          <w:sz w:val="32"/>
          <w:szCs w:val="32"/>
        </w:rPr>
      </w:pPr>
      <w:r>
        <w:rPr>
          <w:color w:val="FF0000"/>
        </w:rPr>
        <w:drawing>
          <wp:inline distT="0" distB="0" distL="114300" distR="114300">
            <wp:extent cx="4924425" cy="3105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4924425" cy="3105150"/>
                    </a:xfrm>
                    <a:prstGeom prst="rect">
                      <a:avLst/>
                    </a:prstGeom>
                    <a:noFill/>
                    <a:ln>
                      <a:noFill/>
                    </a:ln>
                  </pic:spPr>
                </pic:pic>
              </a:graphicData>
            </a:graphic>
          </wp:inline>
        </w:drawing>
      </w:r>
    </w:p>
    <w:p>
      <w:pPr>
        <w:spacing w:line="600" w:lineRule="exact"/>
        <w:ind w:firstLine="640" w:firstLineChars="200"/>
        <w:outlineLvl w:val="1"/>
        <w:rPr>
          <w:rStyle w:val="25"/>
          <w:rFonts w:ascii="黑体" w:hAnsi="黑体" w:eastAsia="黑体"/>
          <w:b w:val="0"/>
        </w:rPr>
      </w:pPr>
      <w:bookmarkStart w:id="40" w:name="_Toc15377209"/>
      <w:bookmarkStart w:id="41" w:name="_Toc19511"/>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9332.90</w:t>
      </w:r>
      <w:r>
        <w:rPr>
          <w:rFonts w:hint="eastAsia" w:ascii="仿宋" w:hAnsi="仿宋" w:eastAsia="仿宋"/>
          <w:sz w:val="32"/>
          <w:szCs w:val="32"/>
        </w:rPr>
        <w:t>万元，占本年支出合计的</w:t>
      </w:r>
      <w:r>
        <w:rPr>
          <w:rFonts w:hint="eastAsia" w:ascii="仿宋" w:hAnsi="仿宋" w:eastAsia="仿宋"/>
          <w:sz w:val="32"/>
          <w:szCs w:val="32"/>
          <w:lang w:val="en-US" w:eastAsia="zh-CN"/>
        </w:rPr>
        <w:t>96.03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67.14</w:t>
      </w:r>
      <w:r>
        <w:rPr>
          <w:rFonts w:hint="eastAsia" w:ascii="仿宋" w:hAnsi="仿宋" w:eastAsia="仿宋"/>
          <w:sz w:val="32"/>
          <w:szCs w:val="32"/>
        </w:rPr>
        <w:t>万元，增长</w:t>
      </w:r>
      <w:r>
        <w:rPr>
          <w:rFonts w:hint="eastAsia" w:ascii="仿宋" w:hAnsi="仿宋" w:eastAsia="仿宋"/>
          <w:sz w:val="32"/>
          <w:szCs w:val="32"/>
          <w:lang w:val="en-US" w:eastAsia="zh-CN"/>
        </w:rPr>
        <w:t>0.72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增人增资造成一般公共预算财政拨款支出增加。</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pPr>
        <w:pStyle w:val="2"/>
        <w:rPr>
          <w:rFonts w:ascii="仿宋" w:hAnsi="仿宋" w:eastAsia="仿宋"/>
          <w:sz w:val="32"/>
          <w:szCs w:val="32"/>
        </w:rPr>
      </w:pPr>
      <w:r>
        <w:drawing>
          <wp:inline distT="0" distB="0" distL="114300" distR="114300">
            <wp:extent cx="4924425" cy="31051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4924425" cy="3105150"/>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9332.90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8272.62</w:t>
      </w:r>
      <w:r>
        <w:rPr>
          <w:rFonts w:hint="eastAsia" w:ascii="仿宋" w:hAnsi="仿宋" w:eastAsia="仿宋"/>
          <w:sz w:val="32"/>
          <w:szCs w:val="32"/>
        </w:rPr>
        <w:t>万元，占</w:t>
      </w:r>
      <w:r>
        <w:rPr>
          <w:rFonts w:hint="eastAsia" w:ascii="仿宋" w:hAnsi="仿宋" w:eastAsia="仿宋"/>
          <w:sz w:val="32"/>
          <w:szCs w:val="32"/>
          <w:lang w:val="en-US" w:eastAsia="zh-CN"/>
        </w:rPr>
        <w:t>88.64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530.57</w:t>
      </w:r>
      <w:r>
        <w:rPr>
          <w:rFonts w:hint="eastAsia" w:ascii="仿宋" w:hAnsi="仿宋" w:eastAsia="仿宋"/>
          <w:sz w:val="32"/>
          <w:szCs w:val="32"/>
        </w:rPr>
        <w:t>万元，占</w:t>
      </w:r>
      <w:r>
        <w:rPr>
          <w:rFonts w:hint="eastAsia" w:ascii="仿宋" w:hAnsi="仿宋" w:eastAsia="仿宋"/>
          <w:sz w:val="32"/>
          <w:szCs w:val="32"/>
          <w:lang w:val="en-US" w:eastAsia="zh-CN"/>
        </w:rPr>
        <w:t>5.69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529.71</w:t>
      </w:r>
      <w:r>
        <w:rPr>
          <w:rFonts w:hint="eastAsia" w:ascii="仿宋" w:hAnsi="仿宋" w:eastAsia="仿宋"/>
          <w:sz w:val="32"/>
          <w:szCs w:val="32"/>
        </w:rPr>
        <w:t>万元，占</w:t>
      </w:r>
      <w:r>
        <w:rPr>
          <w:rFonts w:hint="eastAsia" w:ascii="仿宋" w:hAnsi="仿宋" w:eastAsia="仿宋"/>
          <w:sz w:val="32"/>
          <w:szCs w:val="32"/>
          <w:lang w:val="en-US" w:eastAsia="zh-CN"/>
        </w:rPr>
        <w:t>5.67</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drawing>
          <wp:inline distT="0" distB="0" distL="114300" distR="114300">
            <wp:extent cx="4352290" cy="2658110"/>
            <wp:effectExtent l="4445" t="4445" r="5715"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3" w:firstLineChars="200"/>
        <w:outlineLvl w:val="1"/>
        <w:rPr>
          <w:rFonts w:ascii="仿宋" w:hAnsi="仿宋" w:eastAsia="仿宋"/>
          <w:sz w:val="32"/>
          <w:szCs w:val="32"/>
        </w:rPr>
      </w:pPr>
      <w:bookmarkStart w:id="46" w:name="_Toc24123"/>
      <w:bookmarkStart w:id="47" w:name="_Toc15378460"/>
      <w:bookmarkStart w:id="48" w:name="_Toc15377444"/>
      <w:bookmarkStart w:id="4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9332.90万元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46"/>
      <w:bookmarkEnd w:id="47"/>
      <w:bookmarkEnd w:id="48"/>
      <w:bookmarkEnd w:id="49"/>
    </w:p>
    <w:p>
      <w:pPr>
        <w:numPr>
          <w:ilvl w:val="0"/>
          <w:numId w:val="0"/>
        </w:numPr>
        <w:spacing w:line="600" w:lineRule="exact"/>
        <w:ind w:firstLine="643" w:firstLineChars="200"/>
        <w:rPr>
          <w:rStyle w:val="14"/>
          <w:rFonts w:hint="eastAsia" w:ascii="仿宋" w:hAnsi="仿宋" w:eastAsia="仿宋" w:cstheme="minorBidi"/>
          <w:b w:val="0"/>
          <w:bCs w:val="0"/>
          <w:sz w:val="32"/>
          <w:szCs w:val="32"/>
        </w:rPr>
      </w:pPr>
      <w:r>
        <w:rPr>
          <w:rStyle w:val="14"/>
          <w:rFonts w:hint="eastAsia" w:ascii="仿宋" w:hAnsi="仿宋" w:eastAsia="仿宋" w:cstheme="minorBidi"/>
          <w:bCs/>
          <w:sz w:val="32"/>
          <w:szCs w:val="32"/>
          <w:lang w:val="en-US" w:eastAsia="zh-CN"/>
        </w:rPr>
        <w:t>1.</w:t>
      </w:r>
      <w:r>
        <w:rPr>
          <w:rStyle w:val="14"/>
          <w:rFonts w:hint="eastAsia" w:ascii="仿宋" w:hAnsi="仿宋" w:eastAsia="仿宋" w:cstheme="minorBidi"/>
          <w:bCs/>
          <w:sz w:val="32"/>
          <w:szCs w:val="32"/>
        </w:rPr>
        <w:t>教育（类）</w:t>
      </w:r>
      <w:r>
        <w:rPr>
          <w:rStyle w:val="14"/>
          <w:rFonts w:hint="eastAsia" w:ascii="仿宋" w:hAnsi="仿宋" w:eastAsia="仿宋" w:cstheme="minorBidi"/>
          <w:bCs/>
          <w:sz w:val="32"/>
          <w:szCs w:val="32"/>
          <w:lang w:val="en-US" w:eastAsia="zh-CN"/>
        </w:rPr>
        <w:t>职业教育</w:t>
      </w:r>
      <w:r>
        <w:rPr>
          <w:rStyle w:val="14"/>
          <w:rFonts w:hint="eastAsia" w:ascii="仿宋" w:hAnsi="仿宋" w:eastAsia="仿宋" w:cstheme="minorBidi"/>
          <w:bCs/>
          <w:sz w:val="32"/>
          <w:szCs w:val="32"/>
        </w:rPr>
        <w:t>（款）</w:t>
      </w:r>
      <w:r>
        <w:rPr>
          <w:rStyle w:val="14"/>
          <w:rFonts w:hint="eastAsia" w:ascii="仿宋" w:hAnsi="仿宋" w:eastAsia="仿宋" w:cstheme="minorBidi"/>
          <w:bCs/>
          <w:sz w:val="32"/>
          <w:szCs w:val="32"/>
          <w:lang w:val="en-US" w:eastAsia="zh-CN"/>
        </w:rPr>
        <w:t>中等职业教育</w:t>
      </w:r>
      <w:r>
        <w:rPr>
          <w:rStyle w:val="14"/>
          <w:rFonts w:hint="eastAsia" w:ascii="仿宋" w:hAnsi="仿宋" w:eastAsia="仿宋" w:cstheme="minorBidi"/>
          <w:bCs/>
          <w:sz w:val="32"/>
          <w:szCs w:val="32"/>
        </w:rPr>
        <w:t>（项）</w:t>
      </w:r>
      <w:r>
        <w:rPr>
          <w:rStyle w:val="14"/>
          <w:rFonts w:ascii="仿宋" w:hAnsi="仿宋" w:eastAsia="仿宋" w:cstheme="minorBidi"/>
          <w:bCs/>
          <w:sz w:val="32"/>
          <w:szCs w:val="32"/>
        </w:rPr>
        <w:t xml:space="preserve">: </w:t>
      </w:r>
      <w:r>
        <w:rPr>
          <w:rStyle w:val="14"/>
          <w:rFonts w:hint="eastAsia" w:ascii="仿宋" w:hAnsi="仿宋" w:eastAsia="仿宋" w:cstheme="minorBidi"/>
          <w:b w:val="0"/>
          <w:bCs w:val="0"/>
          <w:sz w:val="32"/>
          <w:szCs w:val="32"/>
        </w:rPr>
        <w:t>支出决算为</w:t>
      </w:r>
      <w:r>
        <w:rPr>
          <w:rStyle w:val="14"/>
          <w:rFonts w:hint="eastAsia" w:ascii="仿宋" w:hAnsi="仿宋" w:eastAsia="仿宋" w:cstheme="minorBidi"/>
          <w:b w:val="0"/>
          <w:bCs w:val="0"/>
          <w:sz w:val="32"/>
          <w:szCs w:val="32"/>
          <w:lang w:val="en-US" w:eastAsia="zh-CN"/>
        </w:rPr>
        <w:t>7983.29</w:t>
      </w:r>
      <w:r>
        <w:rPr>
          <w:rStyle w:val="14"/>
          <w:rFonts w:hint="eastAsia" w:ascii="仿宋" w:hAnsi="仿宋" w:eastAsia="仿宋" w:cstheme="minorBidi"/>
          <w:b w:val="0"/>
          <w:bCs w:val="0"/>
          <w:sz w:val="32"/>
          <w:szCs w:val="32"/>
        </w:rPr>
        <w:t>万元，完成预算</w:t>
      </w:r>
      <w:r>
        <w:rPr>
          <w:rStyle w:val="14"/>
          <w:rFonts w:hint="eastAsia" w:ascii="仿宋" w:hAnsi="仿宋" w:eastAsia="仿宋" w:cstheme="minorBidi"/>
          <w:b w:val="0"/>
          <w:bCs w:val="0"/>
          <w:sz w:val="32"/>
          <w:szCs w:val="32"/>
          <w:lang w:val="en-US" w:eastAsia="zh-CN"/>
        </w:rPr>
        <w:t>100</w:t>
      </w:r>
      <w:r>
        <w:rPr>
          <w:rStyle w:val="14"/>
          <w:rFonts w:ascii="仿宋" w:hAnsi="仿宋" w:eastAsia="仿宋" w:cstheme="minorBidi"/>
          <w:b w:val="0"/>
          <w:bCs w:val="0"/>
          <w:sz w:val="32"/>
          <w:szCs w:val="32"/>
        </w:rPr>
        <w:t>%</w:t>
      </w:r>
      <w:r>
        <w:rPr>
          <w:rStyle w:val="14"/>
          <w:rFonts w:hint="eastAsia" w:ascii="仿宋" w:hAnsi="仿宋" w:eastAsia="仿宋" w:cstheme="minorBidi"/>
          <w:b w:val="0"/>
          <w:bCs w:val="0"/>
          <w:sz w:val="32"/>
          <w:szCs w:val="32"/>
        </w:rPr>
        <w:t>。</w:t>
      </w:r>
    </w:p>
    <w:p>
      <w:pPr>
        <w:numPr>
          <w:ilvl w:val="0"/>
          <w:numId w:val="0"/>
        </w:numPr>
        <w:spacing w:line="600" w:lineRule="exact"/>
        <w:ind w:firstLine="643" w:firstLineChars="200"/>
        <w:rPr>
          <w:rStyle w:val="14"/>
          <w:rFonts w:hint="eastAsia" w:ascii="仿宋" w:hAnsi="仿宋" w:eastAsia="仿宋" w:cstheme="minorBidi"/>
          <w:b w:val="0"/>
          <w:bCs w:val="0"/>
          <w:sz w:val="32"/>
          <w:szCs w:val="32"/>
        </w:rPr>
      </w:pPr>
      <w:r>
        <w:rPr>
          <w:rStyle w:val="14"/>
          <w:rFonts w:hint="eastAsia" w:ascii="仿宋" w:hAnsi="仿宋" w:eastAsia="仿宋" w:cstheme="minorBidi"/>
          <w:bCs/>
          <w:sz w:val="32"/>
          <w:szCs w:val="32"/>
          <w:lang w:val="en-US" w:eastAsia="zh-CN"/>
        </w:rPr>
        <w:t xml:space="preserve">  </w:t>
      </w:r>
      <w:r>
        <w:rPr>
          <w:rStyle w:val="14"/>
          <w:rFonts w:hint="eastAsia" w:ascii="仿宋" w:hAnsi="仿宋" w:eastAsia="仿宋" w:cstheme="minorBidi"/>
          <w:bCs/>
          <w:sz w:val="32"/>
          <w:szCs w:val="32"/>
        </w:rPr>
        <w:t>教育（类）</w:t>
      </w:r>
      <w:r>
        <w:rPr>
          <w:rStyle w:val="14"/>
          <w:rFonts w:hint="eastAsia" w:ascii="仿宋" w:hAnsi="仿宋" w:eastAsia="仿宋" w:cstheme="minorBidi"/>
          <w:bCs/>
          <w:sz w:val="32"/>
          <w:szCs w:val="32"/>
          <w:lang w:val="en-US" w:eastAsia="zh-CN"/>
        </w:rPr>
        <w:t>职业教育</w:t>
      </w:r>
      <w:r>
        <w:rPr>
          <w:rStyle w:val="14"/>
          <w:rFonts w:hint="eastAsia" w:ascii="仿宋" w:hAnsi="仿宋" w:eastAsia="仿宋" w:cstheme="minorBidi"/>
          <w:bCs/>
          <w:sz w:val="32"/>
          <w:szCs w:val="32"/>
        </w:rPr>
        <w:t>（款）</w:t>
      </w:r>
      <w:r>
        <w:rPr>
          <w:rStyle w:val="14"/>
          <w:rFonts w:hint="eastAsia" w:ascii="仿宋" w:hAnsi="仿宋" w:eastAsia="仿宋" w:cstheme="minorBidi"/>
          <w:bCs/>
          <w:sz w:val="32"/>
          <w:szCs w:val="32"/>
          <w:lang w:val="en-US" w:eastAsia="zh-CN"/>
        </w:rPr>
        <w:t>其他教育支出</w:t>
      </w:r>
      <w:r>
        <w:rPr>
          <w:rStyle w:val="14"/>
          <w:rFonts w:hint="eastAsia" w:ascii="仿宋" w:hAnsi="仿宋" w:eastAsia="仿宋" w:cstheme="minorBidi"/>
          <w:bCs/>
          <w:sz w:val="32"/>
          <w:szCs w:val="32"/>
        </w:rPr>
        <w:t>（项）</w:t>
      </w:r>
      <w:r>
        <w:rPr>
          <w:rStyle w:val="14"/>
          <w:rFonts w:ascii="仿宋" w:hAnsi="仿宋" w:eastAsia="仿宋" w:cstheme="minorBidi"/>
          <w:bCs/>
          <w:sz w:val="32"/>
          <w:szCs w:val="32"/>
        </w:rPr>
        <w:t xml:space="preserve">: </w:t>
      </w:r>
      <w:r>
        <w:rPr>
          <w:rStyle w:val="14"/>
          <w:rFonts w:hint="eastAsia" w:ascii="仿宋" w:hAnsi="仿宋" w:eastAsia="仿宋" w:cstheme="minorBidi"/>
          <w:b w:val="0"/>
          <w:bCs w:val="0"/>
          <w:sz w:val="32"/>
          <w:szCs w:val="32"/>
        </w:rPr>
        <w:t>支出决算为</w:t>
      </w:r>
      <w:r>
        <w:rPr>
          <w:rStyle w:val="14"/>
          <w:rFonts w:hint="eastAsia" w:ascii="仿宋" w:hAnsi="仿宋" w:eastAsia="仿宋" w:cstheme="minorBidi"/>
          <w:b w:val="0"/>
          <w:bCs w:val="0"/>
          <w:sz w:val="32"/>
          <w:szCs w:val="32"/>
          <w:lang w:val="en-US" w:eastAsia="zh-CN"/>
        </w:rPr>
        <w:t>289.33</w:t>
      </w:r>
      <w:r>
        <w:rPr>
          <w:rStyle w:val="14"/>
          <w:rFonts w:hint="eastAsia" w:ascii="仿宋" w:hAnsi="仿宋" w:eastAsia="仿宋" w:cstheme="minorBidi"/>
          <w:b w:val="0"/>
          <w:bCs w:val="0"/>
          <w:sz w:val="32"/>
          <w:szCs w:val="32"/>
        </w:rPr>
        <w:t>万元，完成预算</w:t>
      </w:r>
      <w:r>
        <w:rPr>
          <w:rStyle w:val="14"/>
          <w:rFonts w:hint="eastAsia" w:ascii="仿宋" w:hAnsi="仿宋" w:eastAsia="仿宋" w:cstheme="minorBidi"/>
          <w:b w:val="0"/>
          <w:bCs w:val="0"/>
          <w:sz w:val="32"/>
          <w:szCs w:val="32"/>
          <w:lang w:val="en-US" w:eastAsia="zh-CN"/>
        </w:rPr>
        <w:t>100</w:t>
      </w:r>
      <w:r>
        <w:rPr>
          <w:rStyle w:val="14"/>
          <w:rFonts w:ascii="仿宋" w:hAnsi="仿宋" w:eastAsia="仿宋" w:cstheme="minorBidi"/>
          <w:b w:val="0"/>
          <w:bCs w:val="0"/>
          <w:sz w:val="32"/>
          <w:szCs w:val="32"/>
        </w:rPr>
        <w:t>%</w:t>
      </w:r>
      <w:r>
        <w:rPr>
          <w:rStyle w:val="14"/>
          <w:rFonts w:hint="eastAsia" w:ascii="仿宋" w:hAnsi="仿宋" w:eastAsia="仿宋" w:cstheme="minorBidi"/>
          <w:b w:val="0"/>
          <w:bCs w:val="0"/>
          <w:sz w:val="32"/>
          <w:szCs w:val="32"/>
        </w:rPr>
        <w:t>。</w:t>
      </w:r>
    </w:p>
    <w:p>
      <w:pPr>
        <w:numPr>
          <w:ilvl w:val="0"/>
          <w:numId w:val="0"/>
        </w:numPr>
        <w:spacing w:line="600" w:lineRule="exact"/>
        <w:ind w:firstLine="643" w:firstLineChars="200"/>
        <w:rPr>
          <w:rStyle w:val="14"/>
          <w:rFonts w:hint="eastAsia" w:ascii="仿宋" w:hAnsi="仿宋" w:eastAsia="仿宋" w:cstheme="minorBidi"/>
          <w:b w:val="0"/>
          <w:bCs w:val="0"/>
          <w:sz w:val="32"/>
          <w:szCs w:val="32"/>
          <w:lang w:val="en-US" w:eastAsia="zh-CN"/>
        </w:rPr>
      </w:pPr>
      <w:r>
        <w:rPr>
          <w:rStyle w:val="14"/>
          <w:rFonts w:hint="eastAsia" w:ascii="仿宋" w:hAnsi="仿宋" w:eastAsia="仿宋" w:cstheme="minorBidi"/>
          <w:bCs/>
          <w:sz w:val="32"/>
          <w:szCs w:val="32"/>
          <w:lang w:val="en-US" w:eastAsia="zh-CN"/>
        </w:rPr>
        <w:t xml:space="preserve">2.社会保障和就业支出（类）行政事业单位养老支出（款）机关事业单位基本养老保险缴费支出（项）: </w:t>
      </w:r>
      <w:r>
        <w:rPr>
          <w:rStyle w:val="14"/>
          <w:rFonts w:hint="eastAsia" w:ascii="仿宋" w:hAnsi="仿宋" w:eastAsia="仿宋" w:cstheme="minorBidi"/>
          <w:b w:val="0"/>
          <w:bCs w:val="0"/>
          <w:sz w:val="32"/>
          <w:szCs w:val="32"/>
          <w:lang w:val="en-US" w:eastAsia="zh-CN"/>
        </w:rPr>
        <w:t>支出决算为525.02万元，完成预算100%。</w:t>
      </w:r>
    </w:p>
    <w:p>
      <w:pPr>
        <w:numPr>
          <w:ilvl w:val="0"/>
          <w:numId w:val="0"/>
        </w:numPr>
        <w:spacing w:line="600" w:lineRule="exact"/>
        <w:ind w:firstLine="643" w:firstLineChars="200"/>
        <w:rPr>
          <w:rStyle w:val="14"/>
          <w:rFonts w:hint="eastAsia" w:ascii="仿宋" w:hAnsi="仿宋" w:eastAsia="仿宋" w:cstheme="minorBidi"/>
          <w:b w:val="0"/>
          <w:bCs w:val="0"/>
          <w:sz w:val="32"/>
          <w:szCs w:val="32"/>
          <w:lang w:val="en-US" w:eastAsia="zh-CN"/>
        </w:rPr>
      </w:pPr>
      <w:r>
        <w:rPr>
          <w:rStyle w:val="14"/>
          <w:rFonts w:hint="eastAsia" w:ascii="仿宋" w:hAnsi="仿宋" w:eastAsia="仿宋" w:cstheme="minorBidi"/>
          <w:bCs/>
          <w:sz w:val="32"/>
          <w:szCs w:val="32"/>
          <w:lang w:val="en-US" w:eastAsia="zh-CN"/>
        </w:rPr>
        <w:t xml:space="preserve">社会保障和就业支出（类）抚恤（款）死亡抚恤（项）: </w:t>
      </w:r>
      <w:r>
        <w:rPr>
          <w:rStyle w:val="14"/>
          <w:rFonts w:hint="eastAsia" w:ascii="仿宋" w:hAnsi="仿宋" w:eastAsia="仿宋" w:cstheme="minorBidi"/>
          <w:b w:val="0"/>
          <w:bCs w:val="0"/>
          <w:sz w:val="32"/>
          <w:szCs w:val="32"/>
          <w:lang w:val="en-US" w:eastAsia="zh-CN"/>
        </w:rPr>
        <w:t>支出决算为5.55万元，完成预算100%。</w:t>
      </w:r>
    </w:p>
    <w:p>
      <w:pPr>
        <w:numPr>
          <w:ilvl w:val="0"/>
          <w:numId w:val="0"/>
        </w:numPr>
        <w:spacing w:line="600" w:lineRule="exact"/>
        <w:ind w:firstLine="643" w:firstLineChars="200"/>
        <w:rPr>
          <w:rFonts w:ascii="仿宋" w:hAnsi="仿宋" w:eastAsia="仿宋"/>
          <w:b/>
          <w:sz w:val="32"/>
          <w:szCs w:val="32"/>
        </w:rPr>
      </w:pPr>
      <w:r>
        <w:rPr>
          <w:rStyle w:val="14"/>
          <w:rFonts w:hint="eastAsia" w:ascii="仿宋" w:hAnsi="仿宋" w:eastAsia="仿宋" w:cstheme="minorBidi"/>
          <w:bCs/>
          <w:sz w:val="32"/>
          <w:szCs w:val="32"/>
          <w:lang w:val="en-US" w:eastAsia="zh-CN"/>
        </w:rPr>
        <w:t>3</w:t>
      </w:r>
      <w:r>
        <w:rPr>
          <w:rStyle w:val="14"/>
          <w:rFonts w:ascii="仿宋" w:hAnsi="仿宋" w:eastAsia="仿宋" w:cstheme="minorBidi"/>
          <w:bCs/>
          <w:sz w:val="32"/>
          <w:szCs w:val="32"/>
        </w:rPr>
        <w:t>.</w:t>
      </w:r>
      <w:r>
        <w:rPr>
          <w:rStyle w:val="14"/>
          <w:rFonts w:hint="eastAsia" w:ascii="仿宋" w:hAnsi="仿宋" w:eastAsia="仿宋" w:cstheme="minorBidi"/>
          <w:bCs/>
          <w:sz w:val="32"/>
          <w:szCs w:val="32"/>
          <w:lang w:val="en-US" w:eastAsia="zh-CN"/>
        </w:rPr>
        <w:t>住房保障支出</w:t>
      </w:r>
      <w:r>
        <w:rPr>
          <w:rStyle w:val="14"/>
          <w:rFonts w:hint="eastAsia" w:ascii="仿宋" w:hAnsi="仿宋" w:eastAsia="仿宋" w:cstheme="minorBidi"/>
          <w:bCs/>
          <w:sz w:val="32"/>
          <w:szCs w:val="32"/>
        </w:rPr>
        <w:t>（类）</w:t>
      </w:r>
      <w:r>
        <w:rPr>
          <w:rStyle w:val="14"/>
          <w:rFonts w:hint="eastAsia" w:ascii="仿宋" w:hAnsi="仿宋" w:eastAsia="仿宋" w:cstheme="minorBidi"/>
          <w:bCs/>
          <w:sz w:val="32"/>
          <w:szCs w:val="32"/>
          <w:lang w:val="en-US" w:eastAsia="zh-CN"/>
        </w:rPr>
        <w:t>住房改革支出</w:t>
      </w:r>
      <w:r>
        <w:rPr>
          <w:rStyle w:val="14"/>
          <w:rFonts w:hint="eastAsia" w:ascii="仿宋" w:hAnsi="仿宋" w:eastAsia="仿宋" w:cstheme="minorBidi"/>
          <w:bCs/>
          <w:sz w:val="32"/>
          <w:szCs w:val="32"/>
        </w:rPr>
        <w:t>（款）</w:t>
      </w:r>
      <w:r>
        <w:rPr>
          <w:rStyle w:val="14"/>
          <w:rFonts w:hint="eastAsia" w:ascii="仿宋" w:hAnsi="仿宋" w:eastAsia="仿宋" w:cstheme="minorBidi"/>
          <w:bCs/>
          <w:sz w:val="32"/>
          <w:szCs w:val="32"/>
          <w:lang w:val="en-US" w:eastAsia="zh-CN"/>
        </w:rPr>
        <w:t>住房公积金</w:t>
      </w:r>
      <w:r>
        <w:rPr>
          <w:rStyle w:val="14"/>
          <w:rFonts w:hint="eastAsia" w:ascii="仿宋" w:hAnsi="仿宋" w:eastAsia="仿宋" w:cstheme="minorBidi"/>
          <w:bCs/>
          <w:sz w:val="32"/>
          <w:szCs w:val="32"/>
        </w:rPr>
        <w:t>（项）</w:t>
      </w:r>
      <w:r>
        <w:rPr>
          <w:rStyle w:val="14"/>
          <w:rFonts w:ascii="仿宋" w:hAnsi="仿宋" w:eastAsia="仿宋" w:cstheme="minorBidi"/>
          <w:bCs/>
          <w:sz w:val="32"/>
          <w:szCs w:val="32"/>
        </w:rPr>
        <w:t xml:space="preserve">: </w:t>
      </w:r>
      <w:r>
        <w:rPr>
          <w:rStyle w:val="14"/>
          <w:rFonts w:hint="eastAsia" w:ascii="仿宋" w:hAnsi="仿宋" w:eastAsia="仿宋" w:cstheme="minorBidi"/>
          <w:b w:val="0"/>
          <w:bCs w:val="0"/>
          <w:sz w:val="32"/>
          <w:szCs w:val="32"/>
        </w:rPr>
        <w:t>支出决算为</w:t>
      </w:r>
      <w:r>
        <w:rPr>
          <w:rStyle w:val="14"/>
          <w:rFonts w:hint="eastAsia" w:ascii="仿宋" w:hAnsi="仿宋" w:eastAsia="仿宋" w:cstheme="minorBidi"/>
          <w:b w:val="0"/>
          <w:bCs w:val="0"/>
          <w:sz w:val="32"/>
          <w:szCs w:val="32"/>
          <w:lang w:val="en-US" w:eastAsia="zh-CN"/>
        </w:rPr>
        <w:t>529.71</w:t>
      </w:r>
      <w:r>
        <w:rPr>
          <w:rStyle w:val="14"/>
          <w:rFonts w:hint="eastAsia" w:ascii="仿宋" w:hAnsi="仿宋" w:eastAsia="仿宋" w:cstheme="minorBidi"/>
          <w:b w:val="0"/>
          <w:bCs w:val="0"/>
          <w:sz w:val="32"/>
          <w:szCs w:val="32"/>
        </w:rPr>
        <w:t>万元，完成预算</w:t>
      </w:r>
      <w:r>
        <w:rPr>
          <w:rStyle w:val="14"/>
          <w:rFonts w:hint="eastAsia" w:ascii="仿宋" w:hAnsi="仿宋" w:eastAsia="仿宋" w:cstheme="minorBidi"/>
          <w:b w:val="0"/>
          <w:bCs w:val="0"/>
          <w:sz w:val="32"/>
          <w:szCs w:val="32"/>
          <w:lang w:val="en-US" w:eastAsia="zh-CN"/>
        </w:rPr>
        <w:t>100%</w:t>
      </w:r>
      <w:r>
        <w:rPr>
          <w:rStyle w:val="14"/>
          <w:rFonts w:hint="eastAsia" w:ascii="仿宋" w:hAnsi="仿宋" w:eastAsia="仿宋" w:cstheme="minorBidi"/>
          <w:b w:val="0"/>
          <w:bCs w:val="0"/>
          <w:sz w:val="32"/>
          <w:szCs w:val="32"/>
        </w:rPr>
        <w:t>。</w:t>
      </w:r>
    </w:p>
    <w:p>
      <w:pPr>
        <w:tabs>
          <w:tab w:val="right" w:pos="8306"/>
        </w:tabs>
        <w:spacing w:line="600" w:lineRule="exact"/>
        <w:ind w:firstLine="640"/>
        <w:outlineLvl w:val="1"/>
        <w:rPr>
          <w:rStyle w:val="25"/>
        </w:rPr>
      </w:pPr>
      <w:bookmarkStart w:id="50" w:name="_Toc4472"/>
      <w:bookmarkStart w:id="51" w:name="_Toc15377214"/>
      <w:bookmarkStart w:id="5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0"/>
      <w:bookmarkEnd w:id="51"/>
      <w:bookmarkEnd w:id="52"/>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7647.49</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7354.82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292.67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53" w:name="_Toc20241"/>
      <w:bookmarkStart w:id="54" w:name="_Toc15377215"/>
      <w:bookmarkStart w:id="55"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spacing w:line="600" w:lineRule="exact"/>
        <w:ind w:firstLine="640"/>
        <w:rPr>
          <w:rFonts w:ascii="仿宋" w:hAnsi="仿宋" w:eastAsia="仿宋"/>
          <w:color w:val="auto"/>
          <w:sz w:val="32"/>
          <w:szCs w:val="32"/>
          <w:highlight w:val="none"/>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2.41</w:t>
      </w:r>
      <w:r>
        <w:rPr>
          <w:rFonts w:hint="eastAsia" w:ascii="仿宋" w:hAnsi="仿宋" w:eastAsia="仿宋"/>
          <w:sz w:val="32"/>
          <w:szCs w:val="32"/>
        </w:rPr>
        <w:t>万元，完成预算</w:t>
      </w:r>
      <w:r>
        <w:rPr>
          <w:rFonts w:hint="eastAsia" w:ascii="仿宋" w:hAnsi="仿宋" w:eastAsia="仿宋"/>
          <w:sz w:val="32"/>
          <w:szCs w:val="32"/>
          <w:lang w:val="en-US" w:eastAsia="zh-CN"/>
        </w:rPr>
        <w:t>39.77</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3.65</w:t>
      </w:r>
      <w:r>
        <w:rPr>
          <w:rFonts w:hint="eastAsia" w:ascii="仿宋" w:hAnsi="仿宋" w:eastAsia="仿宋"/>
          <w:sz w:val="32"/>
          <w:szCs w:val="32"/>
        </w:rPr>
        <w:t>万元，下降</w:t>
      </w:r>
      <w:r>
        <w:rPr>
          <w:rFonts w:hint="eastAsia" w:ascii="仿宋" w:hAnsi="仿宋" w:eastAsia="仿宋"/>
          <w:sz w:val="32"/>
          <w:szCs w:val="32"/>
          <w:lang w:val="en-US" w:eastAsia="zh-CN"/>
        </w:rPr>
        <w:t>60.23</w:t>
      </w:r>
      <w:r>
        <w:rPr>
          <w:rFonts w:hint="eastAsia" w:ascii="仿宋" w:hAnsi="仿宋" w:eastAsia="仿宋"/>
          <w:sz w:val="32"/>
          <w:szCs w:val="32"/>
        </w:rPr>
        <w:t>%。决算数小于预算数的主要原因是</w:t>
      </w:r>
      <w:r>
        <w:rPr>
          <w:rFonts w:hint="eastAsia" w:ascii="仿宋_GB2312" w:hAnsi="仿宋" w:eastAsia="仿宋_GB2312" w:cs="仿宋"/>
          <w:color w:val="000000"/>
          <w:sz w:val="32"/>
          <w:szCs w:val="32"/>
        </w:rPr>
        <w:t>学校严格执行相关部门关于厉行节约反对浪费的规定</w:t>
      </w:r>
      <w:r>
        <w:rPr>
          <w:rFonts w:hint="eastAsia" w:ascii="仿宋_GB2312" w:hAnsi="仿宋" w:eastAsia="仿宋_GB2312" w:cs="仿宋"/>
          <w:color w:val="000000"/>
          <w:sz w:val="32"/>
          <w:szCs w:val="32"/>
          <w:lang w:eastAsia="zh-CN"/>
        </w:rPr>
        <w:t>，</w:t>
      </w:r>
      <w:r>
        <w:rPr>
          <w:rFonts w:hint="eastAsia" w:ascii="仿宋" w:hAnsi="仿宋" w:eastAsia="仿宋"/>
          <w:color w:val="auto"/>
          <w:sz w:val="32"/>
          <w:szCs w:val="32"/>
          <w:highlight w:val="none"/>
          <w:lang w:val="en-US" w:eastAsia="zh-CN"/>
        </w:rPr>
        <w:t>国内接待量较少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1.9</w:t>
      </w:r>
      <w:r>
        <w:rPr>
          <w:rFonts w:hint="eastAsia" w:ascii="仿宋" w:hAnsi="仿宋" w:eastAsia="仿宋"/>
          <w:sz w:val="32"/>
          <w:szCs w:val="32"/>
        </w:rPr>
        <w:t>万元，占</w:t>
      </w:r>
      <w:r>
        <w:rPr>
          <w:rFonts w:hint="eastAsia" w:ascii="仿宋" w:hAnsi="仿宋" w:eastAsia="仿宋"/>
          <w:sz w:val="32"/>
          <w:szCs w:val="32"/>
          <w:lang w:val="en-US" w:eastAsia="zh-CN"/>
        </w:rPr>
        <w:t>78.84</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0.51</w:t>
      </w:r>
      <w:r>
        <w:rPr>
          <w:rFonts w:hint="eastAsia" w:ascii="仿宋" w:hAnsi="仿宋" w:eastAsia="仿宋"/>
          <w:sz w:val="32"/>
          <w:szCs w:val="32"/>
        </w:rPr>
        <w:t>万元，占</w:t>
      </w:r>
      <w:r>
        <w:rPr>
          <w:rFonts w:hint="eastAsia" w:ascii="仿宋" w:hAnsi="仿宋" w:eastAsia="仿宋"/>
          <w:sz w:val="32"/>
          <w:szCs w:val="32"/>
          <w:lang w:val="en-US" w:eastAsia="zh-CN"/>
        </w:rPr>
        <w:t>21.16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jc w:val="center"/>
        <w:rPr>
          <w:rFonts w:hint="eastAsia" w:ascii="仿宋" w:hAnsi="仿宋" w:eastAsia="仿宋"/>
          <w:color w:val="FF0000"/>
          <w:sz w:val="32"/>
          <w:szCs w:val="32"/>
        </w:rPr>
      </w:pPr>
      <w:r>
        <w:rPr>
          <w:rFonts w:hint="eastAsia" w:ascii="仿宋" w:hAnsi="仿宋" w:eastAsia="仿宋"/>
          <w:color w:val="auto"/>
          <w:sz w:val="32"/>
          <w:szCs w:val="32"/>
        </w:rPr>
        <w:t>（图7：“三公”经费财政拨款支出结构）</w:t>
      </w:r>
    </w:p>
    <w:p>
      <w:pPr>
        <w:pStyle w:val="2"/>
      </w:pPr>
      <w:r>
        <w:drawing>
          <wp:inline distT="0" distB="0" distL="114300" distR="114300">
            <wp:extent cx="4571365" cy="2743200"/>
            <wp:effectExtent l="4445" t="4445" r="15240"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default" w:ascii="仿宋_GB2312" w:eastAsia="仿宋_GB2312"/>
          <w:b/>
          <w:color w:val="auto"/>
          <w:sz w:val="32"/>
          <w:szCs w:val="32"/>
          <w:highlight w:val="none"/>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与2021年持平。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1.9</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39.09</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3.93</w:t>
      </w:r>
      <w:r>
        <w:rPr>
          <w:rFonts w:hint="eastAsia" w:ascii="仿宋_GB2312" w:eastAsia="仿宋_GB2312"/>
          <w:sz w:val="32"/>
          <w:szCs w:val="32"/>
        </w:rPr>
        <w:t>万元，下降</w:t>
      </w:r>
      <w:r>
        <w:rPr>
          <w:rFonts w:hint="eastAsia" w:ascii="仿宋_GB2312" w:eastAsia="仿宋_GB2312"/>
          <w:sz w:val="32"/>
          <w:szCs w:val="32"/>
          <w:lang w:val="en-US" w:eastAsia="zh-CN"/>
        </w:rPr>
        <w:t>67.41</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公务车辆维修费用减少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2</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1.9</w:t>
      </w:r>
      <w:r>
        <w:rPr>
          <w:rFonts w:hint="eastAsia" w:ascii="仿宋_GB2312" w:eastAsia="仿宋_GB2312"/>
          <w:sz w:val="32"/>
          <w:szCs w:val="32"/>
        </w:rPr>
        <w:t>万元。主要用于</w:t>
      </w:r>
      <w:r>
        <w:rPr>
          <w:rFonts w:hint="eastAsia" w:ascii="仿宋_GB2312" w:eastAsia="仿宋_GB2312"/>
          <w:color w:val="auto"/>
          <w:sz w:val="32"/>
          <w:szCs w:val="32"/>
          <w:highlight w:val="none"/>
          <w:lang w:val="en-US" w:eastAsia="zh-CN"/>
        </w:rPr>
        <w:t>教学管理、接送藏区学生</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0.51</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42.5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42.69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学校</w:t>
      </w:r>
      <w:r>
        <w:rPr>
          <w:rFonts w:hint="eastAsia" w:ascii="仿宋_GB2312" w:eastAsia="仿宋_GB2312"/>
          <w:color w:val="auto"/>
          <w:sz w:val="32"/>
          <w:szCs w:val="32"/>
          <w:highlight w:val="none"/>
          <w:lang w:val="en-US" w:eastAsia="zh-CN"/>
        </w:rPr>
        <w:t>响应政策例行节约</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0.51</w:t>
      </w:r>
      <w:r>
        <w:rPr>
          <w:rFonts w:hint="eastAsia" w:ascii="仿宋_GB2312" w:eastAsia="仿宋_GB2312"/>
          <w:sz w:val="32"/>
          <w:szCs w:val="32"/>
        </w:rPr>
        <w:t>万元，主要用于</w:t>
      </w:r>
      <w:r>
        <w:rPr>
          <w:rFonts w:hint="eastAsia" w:ascii="仿宋_GB2312" w:eastAsia="仿宋_GB2312"/>
          <w:color w:val="auto"/>
          <w:sz w:val="32"/>
          <w:szCs w:val="32"/>
          <w:highlight w:val="none"/>
          <w:lang w:val="en-US" w:eastAsia="zh-CN"/>
        </w:rPr>
        <w:t>教学管理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执行公务、开展业务活动</w:t>
      </w:r>
      <w:r>
        <w:rPr>
          <w:rFonts w:hint="eastAsia" w:ascii="仿宋_GB2312" w:eastAsia="仿宋_GB2312"/>
          <w:sz w:val="32"/>
          <w:szCs w:val="32"/>
        </w:rPr>
        <w:t>开支的交通费、住宿费、用餐费等。国内公务接待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33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0.51</w:t>
      </w:r>
      <w:r>
        <w:rPr>
          <w:rFonts w:hint="eastAsia" w:ascii="仿宋_GB2312" w:eastAsia="仿宋_GB2312"/>
          <w:sz w:val="32"/>
          <w:szCs w:val="32"/>
        </w:rPr>
        <w:t>万元，具体内容包括：</w:t>
      </w:r>
      <w:r>
        <w:rPr>
          <w:rFonts w:hint="eastAsia" w:ascii="仿宋_GB2312" w:hAnsi="仿宋_GB2312" w:eastAsia="仿宋_GB2312" w:cs="仿宋_GB2312"/>
          <w:sz w:val="32"/>
          <w:szCs w:val="32"/>
        </w:rPr>
        <w:t>2022年1月接待四川财经职业学校交流政府采购评审专家培训工作餐费 0.12万元；2022年4月接待天府新区信息职业学院人才培养交流活动餐费0.21万元；</w:t>
      </w:r>
      <w:r>
        <w:rPr>
          <w:rFonts w:hint="eastAsia" w:ascii="仿宋_GB2312" w:hAnsi="仿宋_GB2312" w:eastAsia="仿宋_GB2312" w:cs="仿宋_GB2312"/>
          <w:kern w:val="0"/>
          <w:sz w:val="32"/>
          <w:szCs w:val="32"/>
        </w:rPr>
        <w:t>2022年6月接待天府航空旅游职业学院和成都四际餐饮公司交流实习学生工作餐费0.1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58" w:name="_Toc15396610"/>
      <w:bookmarkStart w:id="59" w:name="_Toc15377218"/>
    </w:p>
    <w:p>
      <w:pPr>
        <w:spacing w:line="600" w:lineRule="exact"/>
        <w:ind w:firstLine="640"/>
        <w:outlineLvl w:val="1"/>
        <w:rPr>
          <w:rStyle w:val="25"/>
          <w:rFonts w:ascii="黑体" w:hAnsi="黑体" w:eastAsia="黑体"/>
        </w:rPr>
      </w:pPr>
      <w:bookmarkStart w:id="60" w:name="_Toc5832"/>
      <w:r>
        <w:rPr>
          <w:rFonts w:hint="eastAsia" w:ascii="黑体" w:eastAsia="黑体"/>
          <w:sz w:val="32"/>
          <w:szCs w:val="32"/>
        </w:rPr>
        <w:t>八、</w:t>
      </w:r>
      <w:r>
        <w:rPr>
          <w:rStyle w:val="25"/>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61" w:name="_Toc15377219"/>
      <w:bookmarkStart w:id="62" w:name="_Toc27338"/>
      <w:bookmarkStart w:id="63" w:name="_Toc15396611"/>
      <w:r>
        <w:rPr>
          <w:rStyle w:val="25"/>
          <w:rFonts w:hint="eastAsia" w:ascii="黑体" w:hAnsi="黑体" w:eastAsia="黑体"/>
          <w:b w:val="0"/>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64" w:name="_Toc10052"/>
      <w:bookmarkStart w:id="65" w:name="_Toc15377221"/>
      <w:bookmarkStart w:id="66" w:name="_Toc15396612"/>
      <w:r>
        <w:rPr>
          <w:rStyle w:val="25"/>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攀枝花市经贸旅游学校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攀枝花市经贸旅游学校</w:t>
      </w:r>
      <w:r>
        <w:rPr>
          <w:rFonts w:hint="eastAsia" w:ascii="仿宋_GB2312" w:eastAsia="仿宋_GB2312"/>
          <w:sz w:val="32"/>
          <w:szCs w:val="32"/>
        </w:rPr>
        <w:t>政府采购支出总额</w:t>
      </w:r>
      <w:r>
        <w:rPr>
          <w:rFonts w:hint="eastAsia" w:ascii="仿宋_GB2312" w:eastAsia="仿宋_GB2312"/>
          <w:sz w:val="32"/>
          <w:szCs w:val="32"/>
          <w:lang w:val="en-US" w:eastAsia="zh-CN"/>
        </w:rPr>
        <w:t>322.59</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40.97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281.62</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江南校区教学楼维修改造工程项目和教学用计算机采购项目</w:t>
      </w:r>
      <w:r>
        <w:rPr>
          <w:rFonts w:hint="eastAsia" w:ascii="仿宋_GB2312" w:eastAsia="仿宋_GB2312"/>
          <w:sz w:val="32"/>
          <w:szCs w:val="32"/>
        </w:rPr>
        <w:t>。授予中小企业合同金额</w:t>
      </w:r>
      <w:r>
        <w:rPr>
          <w:rFonts w:hint="eastAsia" w:ascii="仿宋_GB2312" w:eastAsia="仿宋_GB2312"/>
          <w:sz w:val="32"/>
          <w:szCs w:val="32"/>
          <w:lang w:val="en-US" w:eastAsia="zh-CN"/>
        </w:rPr>
        <w:t>322.59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322.59</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攀枝花市经贸旅游学校</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val="en-US" w:eastAsia="zh-CN"/>
        </w:rPr>
        <w:t>教学管理、接送藏区学生等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color w:val="auto"/>
          <w:highlight w:val="yellow"/>
        </w:rPr>
      </w:pPr>
      <w:r>
        <w:rPr>
          <w:rFonts w:hint="eastAsia" w:hAnsi="仿宋_GB2312" w:cs="仿宋_GB2312"/>
          <w:color w:val="auto"/>
          <w:sz w:val="32"/>
          <w:szCs w:val="32"/>
        </w:rPr>
        <w:t>根据预算绩效管理要求，本单位在2022年度预算编制阶段，组织对中央现代职业教育质量提升计划资金项目等</w:t>
      </w:r>
      <w:r>
        <w:rPr>
          <w:rFonts w:hint="eastAsia" w:hAnsi="仿宋_GB2312" w:cs="仿宋_GB2312"/>
          <w:color w:val="auto"/>
          <w:sz w:val="32"/>
          <w:szCs w:val="32"/>
          <w:lang w:val="en-US" w:eastAsia="zh-CN"/>
        </w:rPr>
        <w:t>31</w:t>
      </w:r>
      <w:r>
        <w:rPr>
          <w:rFonts w:hint="eastAsia" w:hAnsi="仿宋_GB2312" w:cs="仿宋_GB2312"/>
          <w:color w:val="auto"/>
          <w:sz w:val="32"/>
          <w:szCs w:val="32"/>
        </w:rPr>
        <w:t>个项目开展了预算事前绩效评估，对</w:t>
      </w:r>
      <w:r>
        <w:rPr>
          <w:rFonts w:hint="eastAsia" w:hAnsi="仿宋_GB2312" w:cs="仿宋_GB2312"/>
          <w:color w:val="auto"/>
          <w:sz w:val="32"/>
          <w:szCs w:val="32"/>
          <w:lang w:val="en-US" w:eastAsia="zh-CN"/>
        </w:rPr>
        <w:t>31</w:t>
      </w:r>
      <w:r>
        <w:rPr>
          <w:rFonts w:hint="eastAsia" w:hAnsi="仿宋_GB2312" w:cs="仿宋_GB2312"/>
          <w:color w:val="auto"/>
          <w:sz w:val="32"/>
          <w:szCs w:val="32"/>
        </w:rPr>
        <w:t>个项目编制了绩效目标，预算执行过程中，选取</w:t>
      </w:r>
      <w:r>
        <w:rPr>
          <w:rFonts w:hint="eastAsia" w:hAnsi="仿宋_GB2312" w:cs="仿宋_GB2312"/>
          <w:color w:val="auto"/>
          <w:sz w:val="32"/>
          <w:szCs w:val="32"/>
          <w:lang w:val="en-US" w:eastAsia="zh-CN"/>
        </w:rPr>
        <w:t>31</w:t>
      </w:r>
      <w:r>
        <w:rPr>
          <w:rFonts w:hint="eastAsia" w:hAnsi="仿宋_GB2312" w:cs="仿宋_GB2312"/>
          <w:color w:val="auto"/>
          <w:sz w:val="32"/>
          <w:szCs w:val="32"/>
        </w:rPr>
        <w:t>个项目开展绩效监控，组织对</w:t>
      </w:r>
      <w:r>
        <w:rPr>
          <w:rFonts w:hint="eastAsia" w:hAnsi="仿宋_GB2312" w:cs="仿宋_GB2312"/>
          <w:color w:val="auto"/>
          <w:sz w:val="32"/>
          <w:szCs w:val="32"/>
          <w:lang w:val="en-US" w:eastAsia="zh-CN"/>
        </w:rPr>
        <w:t>31</w:t>
      </w:r>
      <w:r>
        <w:rPr>
          <w:rFonts w:hint="eastAsia" w:hAnsi="仿宋_GB2312" w:cs="仿宋_GB2312"/>
          <w:color w:val="auto"/>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70" w:name="_Toc23177"/>
      <w:bookmarkStart w:id="71" w:name="_Toc15377225"/>
      <w:bookmarkStart w:id="72" w:name="_Toc15396613"/>
      <w:r>
        <w:rPr>
          <w:rFonts w:hint="eastAsia" w:ascii="黑体" w:hAnsi="黑体" w:eastAsia="黑体"/>
          <w:sz w:val="44"/>
          <w:szCs w:val="44"/>
        </w:rPr>
        <w:t>名</w:t>
      </w:r>
      <w:r>
        <w:rPr>
          <w:rStyle w:val="24"/>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w:t>
      </w:r>
      <w:r>
        <w:rPr>
          <w:rFonts w:hint="eastAsia" w:ascii="仿宋_GB2312" w:eastAsia="仿宋_GB2312"/>
          <w:color w:val="auto"/>
          <w:sz w:val="32"/>
          <w:szCs w:val="32"/>
          <w:lang w:val="en-US" w:eastAsia="zh-CN"/>
        </w:rPr>
        <w:t>中职学生住宿费</w:t>
      </w:r>
      <w:r>
        <w:rPr>
          <w:rFonts w:hint="eastAsia" w:ascii="仿宋_GB2312" w:eastAsia="仿宋_GB2312"/>
          <w:color w:val="auto"/>
          <w:sz w:val="32"/>
          <w:szCs w:val="32"/>
        </w:rPr>
        <w:t>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val="en-US" w:eastAsia="zh-CN"/>
        </w:rPr>
        <w:t>区县教体局拨来少数民族学生免杂费补助资金</w:t>
      </w:r>
      <w:r>
        <w:rPr>
          <w:rFonts w:hint="eastAsia" w:ascii="仿宋_GB2312" w:eastAsia="仿宋_GB2312"/>
          <w:color w:val="auto"/>
          <w:sz w:val="32"/>
          <w:szCs w:val="32"/>
        </w:rPr>
        <w:t>等。</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hAnsi="Calibri" w:eastAsia="仿宋_GB2312" w:cs="仿宋"/>
          <w:color w:val="auto"/>
          <w:kern w:val="0"/>
          <w:sz w:val="32"/>
          <w:szCs w:val="32"/>
          <w:highlight w:val="none"/>
          <w:lang w:val="en-US" w:eastAsia="zh-CN" w:bidi="ar-SA"/>
        </w:rPr>
        <w:t>教育支出（类）职业教育（款）中等职业教育（项）反映各部门（不含人力资源和社会保障部门）举办的中等职业教育支出。政府各部门对社会组织举办的中等职业学校的资助，如捐赠、补贴等，也在本科目反映</w:t>
      </w:r>
      <w:r>
        <w:rPr>
          <w:rFonts w:hint="eastAsia" w:ascii="仿宋_GB2312" w:eastAsia="仿宋_GB2312"/>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highlight w:val="none"/>
        </w:rPr>
        <w:t>教育支出（类）教育费附加安排的支出（款）其他教育支出（项）：</w:t>
      </w:r>
      <w:r>
        <w:rPr>
          <w:rFonts w:ascii="仿宋_GB2312" w:hAnsi="仿宋_GB2312" w:eastAsia="仿宋_GB2312" w:cs="仿宋_GB2312"/>
          <w:i w:val="0"/>
          <w:iCs w:val="0"/>
          <w:caps w:val="0"/>
          <w:color w:val="auto"/>
          <w:spacing w:val="0"/>
          <w:sz w:val="31"/>
          <w:szCs w:val="31"/>
          <w:shd w:val="clear" w:fill="FFFFFF"/>
        </w:rPr>
        <w:t>用于其他普通教育的支出</w:t>
      </w:r>
      <w:r>
        <w:rPr>
          <w:rFonts w:hint="eastAsia" w:ascii="仿宋_GB2312" w:eastAsia="仿宋_GB2312"/>
          <w:color w:val="auto"/>
          <w:sz w:val="32"/>
          <w:szCs w:val="32"/>
          <w:highlight w:val="none"/>
        </w:rPr>
        <w:t>。</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hAnsi="Calibri" w:eastAsia="仿宋_GB2312" w:cs="仿宋"/>
          <w:color w:val="auto"/>
          <w:kern w:val="0"/>
          <w:sz w:val="32"/>
          <w:szCs w:val="32"/>
          <w:highlight w:val="none"/>
          <w:lang w:val="en-US" w:eastAsia="zh-CN" w:bidi="ar-SA"/>
        </w:rPr>
        <w:t>社会保障和就业支出（类）行政事业单位养老支出（款）机关事业单位基本养老保险缴费支出(项)：指机关事业单位用于实施养老保险制度由单位缴纳基本养老保险缴费支出。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社会保障和就业支出（类）抚恤（款</w:t>
      </w:r>
      <w:r>
        <w:rPr>
          <w:rFonts w:ascii="仿宋_GB2312" w:eastAsia="仿宋_GB2312"/>
          <w:sz w:val="32"/>
          <w:szCs w:val="32"/>
        </w:rPr>
        <w:t>）</w:t>
      </w:r>
      <w:r>
        <w:rPr>
          <w:rFonts w:hint="eastAsia" w:ascii="仿宋_GB2312" w:eastAsia="仿宋_GB2312"/>
          <w:sz w:val="32"/>
          <w:szCs w:val="32"/>
        </w:rPr>
        <w:t>死亡抚恤(项)：反映按规定用于烈士和牺牲、病故人员家属一次性和定期抚恤金以及丧葬补助费</w:t>
      </w:r>
      <w:r>
        <w:rPr>
          <w:rFonts w:hint="eastAsia" w:ascii="仿宋_GB2312" w:eastAsia="仿宋_GB2312"/>
          <w:sz w:val="32"/>
          <w:szCs w:val="32"/>
          <w:lang w:val="en-US" w:eastAsia="zh-CN"/>
        </w:rPr>
        <w:t>以及烈士褒扬金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hAnsi="Calibri" w:eastAsia="仿宋_GB2312" w:cs="仿宋"/>
          <w:color w:val="auto"/>
          <w:kern w:val="0"/>
          <w:sz w:val="32"/>
          <w:szCs w:val="32"/>
          <w:highlight w:val="none"/>
          <w:lang w:val="en-US" w:eastAsia="zh-CN" w:bidi="ar-SA"/>
        </w:rPr>
        <w:t>12.住房保障支出（类）住房改革支出（款）住房公积金 (项)：反映行政事业单位按人力资源和社会保障部、财政部规定的基本工资和津贴补贴以及规定比例为职工缴纳的住房公积金。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rPr>
      </w:pPr>
      <w:bookmarkStart w:id="73" w:name="_Toc15377226"/>
      <w:r>
        <w:rPr>
          <w:rFonts w:ascii="宋体"/>
          <w:b/>
          <w:sz w:val="44"/>
          <w:szCs w:val="44"/>
        </w:rPr>
        <w:br w:type="page"/>
      </w:r>
      <w:bookmarkStart w:id="74" w:name="_Toc15396614"/>
      <w:bookmarkStart w:id="75" w:name="_Toc4110"/>
      <w:r>
        <w:rPr>
          <w:rFonts w:hint="eastAsia" w:ascii="黑体" w:hAnsi="黑体" w:eastAsia="黑体"/>
          <w:sz w:val="44"/>
          <w:szCs w:val="44"/>
        </w:rPr>
        <w:t>第</w:t>
      </w:r>
      <w:r>
        <w:rPr>
          <w:rStyle w:val="24"/>
          <w:rFonts w:hint="eastAsia" w:ascii="黑体" w:hAnsi="黑体" w:eastAsia="黑体"/>
          <w:b w:val="0"/>
        </w:rPr>
        <w:t>四部分 附件</w:t>
      </w:r>
      <w:bookmarkEnd w:id="74"/>
      <w:bookmarkEnd w:id="75"/>
    </w:p>
    <w:p>
      <w:pPr>
        <w:spacing w:line="572" w:lineRule="exact"/>
        <w:jc w:val="left"/>
        <w:outlineLvl w:val="9"/>
        <w:rPr>
          <w:rFonts w:ascii="仿宋_GB2312" w:hAnsi="仿宋_GB2312" w:eastAsia="仿宋_GB2312" w:cs="仿宋_GB2312"/>
          <w:sz w:val="32"/>
          <w:szCs w:val="32"/>
        </w:rPr>
      </w:pPr>
    </w:p>
    <w:p>
      <w:pPr>
        <w:spacing w:line="600" w:lineRule="exact"/>
        <w:jc w:val="center"/>
        <w:outlineLvl w:val="1"/>
        <w:rPr>
          <w:rFonts w:ascii="宋体" w:hAnsi="宋体" w:cs="宋体"/>
          <w:kern w:val="0"/>
          <w:sz w:val="32"/>
          <w:szCs w:val="32"/>
        </w:rPr>
      </w:pPr>
      <w:bookmarkStart w:id="76" w:name="_Toc9521"/>
      <w:bookmarkStart w:id="77" w:name="_Toc15396618"/>
      <w:r>
        <w:rPr>
          <w:rFonts w:hint="eastAsia" w:ascii="宋体" w:hAnsi="宋体" w:cs="宋体"/>
          <w:kern w:val="0"/>
          <w:sz w:val="32"/>
          <w:szCs w:val="32"/>
        </w:rPr>
        <w:t>部门预算项目支出绩效自评表（2022年度）</w:t>
      </w:r>
      <w:bookmarkEnd w:id="76"/>
    </w:p>
    <w:p>
      <w:pPr>
        <w:spacing w:line="600" w:lineRule="exact"/>
        <w:jc w:val="left"/>
        <w:outlineLvl w:val="9"/>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bookmarkStart w:id="78" w:name="_Toc25053"/>
      <w:r>
        <w:rPr>
          <w:rFonts w:hint="eastAsia" w:ascii="黑体" w:hAnsi="黑体" w:eastAsia="黑体"/>
          <w:sz w:val="44"/>
          <w:szCs w:val="44"/>
        </w:rPr>
        <w:t>第</w:t>
      </w:r>
      <w:r>
        <w:rPr>
          <w:rStyle w:val="24"/>
          <w:rFonts w:hint="eastAsia" w:ascii="黑体" w:hAnsi="黑体" w:eastAsia="黑体"/>
          <w:b w:val="0"/>
        </w:rPr>
        <w:t>五部分 附表</w:t>
      </w:r>
      <w:bookmarkEnd w:id="73"/>
      <w:bookmarkEnd w:id="77"/>
      <w:bookmarkEnd w:id="78"/>
      <w:bookmarkStart w:id="79" w:name="_Toc15396619"/>
    </w:p>
    <w:p>
      <w:pPr>
        <w:pStyle w:val="4"/>
        <w:rPr>
          <w:rFonts w:ascii="仿宋" w:hAnsi="仿宋" w:eastAsia="仿宋"/>
        </w:rPr>
      </w:pPr>
      <w:bookmarkStart w:id="80" w:name="_Toc5353"/>
      <w:r>
        <w:rPr>
          <w:rFonts w:hint="eastAsia" w:ascii="仿宋" w:hAnsi="仿宋" w:eastAsia="仿宋"/>
          <w:b w:val="0"/>
        </w:rPr>
        <w:t>一、收</w:t>
      </w:r>
      <w:r>
        <w:rPr>
          <w:rStyle w:val="25"/>
          <w:rFonts w:hint="eastAsia" w:ascii="仿宋" w:hAnsi="仿宋" w:eastAsia="仿宋"/>
          <w:b w:val="0"/>
          <w:bCs w:val="0"/>
        </w:rPr>
        <w:t>入支出决算总表</w:t>
      </w:r>
      <w:bookmarkEnd w:id="79"/>
      <w:bookmarkEnd w:id="80"/>
    </w:p>
    <w:p>
      <w:pPr>
        <w:pStyle w:val="4"/>
        <w:rPr>
          <w:rFonts w:ascii="仿宋" w:hAnsi="仿宋" w:eastAsia="仿宋"/>
        </w:rPr>
      </w:pPr>
      <w:bookmarkStart w:id="81" w:name="_Toc9052"/>
      <w:bookmarkStart w:id="82" w:name="_Toc15396620"/>
      <w:r>
        <w:rPr>
          <w:rFonts w:hint="eastAsia" w:ascii="仿宋" w:hAnsi="仿宋" w:eastAsia="仿宋"/>
          <w:b w:val="0"/>
        </w:rPr>
        <w:t>二、收</w:t>
      </w:r>
      <w:r>
        <w:rPr>
          <w:rStyle w:val="25"/>
          <w:rFonts w:hint="eastAsia" w:ascii="仿宋" w:hAnsi="仿宋" w:eastAsia="仿宋"/>
          <w:b w:val="0"/>
          <w:bCs w:val="0"/>
        </w:rPr>
        <w:t>入决算表</w:t>
      </w:r>
      <w:bookmarkEnd w:id="81"/>
      <w:bookmarkEnd w:id="82"/>
    </w:p>
    <w:p>
      <w:pPr>
        <w:pStyle w:val="4"/>
        <w:rPr>
          <w:rFonts w:ascii="仿宋" w:hAnsi="仿宋" w:eastAsia="仿宋"/>
        </w:rPr>
      </w:pPr>
      <w:bookmarkStart w:id="83" w:name="_Toc24878"/>
      <w:bookmarkStart w:id="84"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83"/>
      <w:bookmarkEnd w:id="84"/>
    </w:p>
    <w:p>
      <w:pPr>
        <w:pStyle w:val="4"/>
        <w:rPr>
          <w:rFonts w:ascii="仿宋" w:hAnsi="仿宋" w:eastAsia="仿宋"/>
          <w:b w:val="0"/>
        </w:rPr>
      </w:pPr>
      <w:bookmarkStart w:id="85" w:name="_Toc15396622"/>
      <w:bookmarkStart w:id="86" w:name="_Toc3177"/>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85"/>
      <w:bookmarkEnd w:id="86"/>
    </w:p>
    <w:p>
      <w:pPr>
        <w:pStyle w:val="4"/>
        <w:rPr>
          <w:rStyle w:val="25"/>
          <w:rFonts w:ascii="仿宋" w:hAnsi="仿宋" w:eastAsia="仿宋"/>
          <w:b w:val="0"/>
          <w:bCs w:val="0"/>
        </w:rPr>
      </w:pPr>
      <w:bookmarkStart w:id="87" w:name="_Toc15380"/>
      <w:bookmarkStart w:id="8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87"/>
      <w:bookmarkEnd w:id="88"/>
      <w:bookmarkStart w:id="89" w:name="_Toc15396624"/>
    </w:p>
    <w:p>
      <w:pPr>
        <w:pStyle w:val="4"/>
        <w:rPr>
          <w:rFonts w:ascii="仿宋" w:hAnsi="仿宋" w:eastAsia="仿宋"/>
        </w:rPr>
      </w:pPr>
      <w:bookmarkStart w:id="90" w:name="_Toc15023"/>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89"/>
      <w:bookmarkEnd w:id="90"/>
    </w:p>
    <w:p>
      <w:pPr>
        <w:pStyle w:val="4"/>
        <w:rPr>
          <w:rFonts w:ascii="仿宋" w:hAnsi="仿宋" w:eastAsia="仿宋"/>
        </w:rPr>
      </w:pPr>
      <w:bookmarkStart w:id="91" w:name="_Toc28927"/>
      <w:bookmarkStart w:id="9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91"/>
      <w:bookmarkEnd w:id="92"/>
    </w:p>
    <w:p>
      <w:pPr>
        <w:pStyle w:val="4"/>
        <w:rPr>
          <w:rFonts w:ascii="仿宋" w:hAnsi="仿宋" w:eastAsia="仿宋"/>
        </w:rPr>
      </w:pPr>
      <w:bookmarkStart w:id="93" w:name="_Toc15396626"/>
      <w:bookmarkStart w:id="94" w:name="_Toc26327"/>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93"/>
      <w:bookmarkEnd w:id="94"/>
    </w:p>
    <w:p>
      <w:pPr>
        <w:pStyle w:val="4"/>
        <w:rPr>
          <w:rFonts w:ascii="仿宋" w:hAnsi="仿宋" w:eastAsia="仿宋"/>
        </w:rPr>
      </w:pPr>
      <w:bookmarkStart w:id="95" w:name="_Toc28001"/>
      <w:bookmarkStart w:id="9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95"/>
      <w:bookmarkEnd w:id="96"/>
    </w:p>
    <w:p>
      <w:pPr>
        <w:pStyle w:val="4"/>
        <w:rPr>
          <w:rFonts w:ascii="仿宋" w:hAnsi="仿宋" w:eastAsia="仿宋"/>
          <w:b w:val="0"/>
          <w:bCs w:val="0"/>
        </w:rPr>
      </w:pPr>
      <w:bookmarkStart w:id="97" w:name="_Toc15396628"/>
      <w:bookmarkStart w:id="98" w:name="_Toc19004"/>
      <w:r>
        <w:rPr>
          <w:rStyle w:val="25"/>
          <w:rFonts w:hint="eastAsia" w:ascii="仿宋" w:hAnsi="仿宋" w:eastAsia="仿宋"/>
          <w:b w:val="0"/>
          <w:bCs w:val="0"/>
        </w:rPr>
        <w:t>十、</w:t>
      </w:r>
      <w:bookmarkEnd w:id="97"/>
      <w:r>
        <w:rPr>
          <w:rFonts w:hint="eastAsia" w:ascii="仿宋" w:hAnsi="仿宋" w:eastAsia="仿宋"/>
          <w:b w:val="0"/>
        </w:rPr>
        <w:t>政</w:t>
      </w:r>
      <w:r>
        <w:rPr>
          <w:rStyle w:val="25"/>
          <w:rFonts w:hint="eastAsia" w:ascii="仿宋" w:hAnsi="仿宋" w:eastAsia="仿宋"/>
          <w:b w:val="0"/>
          <w:bCs w:val="0"/>
        </w:rPr>
        <w:t>府性基金预算财政拨款收入支出决算表</w:t>
      </w:r>
      <w:r>
        <w:rPr>
          <w:rFonts w:hint="eastAsia" w:ascii="仿宋_GB2312" w:eastAsia="仿宋_GB2312"/>
          <w:b w:val="0"/>
          <w:bCs w:val="0"/>
          <w:color w:val="auto"/>
          <w:sz w:val="32"/>
          <w:szCs w:val="32"/>
          <w:highlight w:val="none"/>
          <w:lang w:val="en-US" w:eastAsia="zh-CN"/>
        </w:rPr>
        <w:t>（此表无数据）</w:t>
      </w:r>
      <w:bookmarkEnd w:id="98"/>
    </w:p>
    <w:p>
      <w:pPr>
        <w:pStyle w:val="4"/>
        <w:rPr>
          <w:rFonts w:ascii="仿宋" w:hAnsi="仿宋" w:eastAsia="仿宋"/>
        </w:rPr>
      </w:pPr>
      <w:bookmarkStart w:id="99" w:name="_Toc15396629"/>
      <w:bookmarkStart w:id="100" w:name="_Toc10289"/>
      <w:r>
        <w:rPr>
          <w:rStyle w:val="25"/>
          <w:rFonts w:hint="eastAsia" w:ascii="仿宋" w:hAnsi="仿宋" w:eastAsia="仿宋"/>
          <w:b w:val="0"/>
          <w:bCs w:val="0"/>
        </w:rPr>
        <w:t>十一、</w:t>
      </w:r>
      <w:bookmarkEnd w:id="99"/>
      <w:r>
        <w:rPr>
          <w:rFonts w:hint="eastAsia" w:ascii="仿宋" w:hAnsi="仿宋" w:eastAsia="仿宋"/>
          <w:b w:val="0"/>
          <w:bCs w:val="0"/>
        </w:rPr>
        <w:t>国</w:t>
      </w:r>
      <w:r>
        <w:rPr>
          <w:rStyle w:val="25"/>
          <w:rFonts w:hint="eastAsia" w:ascii="仿宋" w:hAnsi="仿宋" w:eastAsia="仿宋"/>
          <w:b w:val="0"/>
          <w:bCs w:val="0"/>
        </w:rPr>
        <w:t>有资本经营预算财政拨款收入支出决算表</w:t>
      </w:r>
      <w:r>
        <w:rPr>
          <w:rFonts w:hint="eastAsia" w:ascii="仿宋_GB2312" w:eastAsia="仿宋_GB2312"/>
          <w:b w:val="0"/>
          <w:bCs w:val="0"/>
          <w:color w:val="auto"/>
          <w:sz w:val="32"/>
          <w:szCs w:val="32"/>
          <w:highlight w:val="none"/>
          <w:lang w:val="en-US" w:eastAsia="zh-CN"/>
        </w:rPr>
        <w:t>（此表无数据）</w:t>
      </w:r>
      <w:bookmarkEnd w:id="100"/>
    </w:p>
    <w:p>
      <w:pPr>
        <w:pStyle w:val="4"/>
        <w:rPr>
          <w:rFonts w:ascii="仿宋" w:hAnsi="仿宋" w:eastAsia="仿宋"/>
          <w:b w:val="0"/>
          <w:bCs w:val="0"/>
        </w:rPr>
      </w:pPr>
      <w:bookmarkStart w:id="101" w:name="_Toc15396630"/>
      <w:bookmarkStart w:id="102" w:name="_Toc7921"/>
      <w:r>
        <w:rPr>
          <w:rStyle w:val="25"/>
          <w:rFonts w:hint="eastAsia" w:ascii="仿宋" w:hAnsi="仿宋" w:eastAsia="仿宋"/>
          <w:b w:val="0"/>
          <w:bCs w:val="0"/>
        </w:rPr>
        <w:t>十二、</w:t>
      </w:r>
      <w:bookmarkEnd w:id="101"/>
      <w:r>
        <w:rPr>
          <w:rStyle w:val="25"/>
          <w:rFonts w:hint="eastAsia" w:ascii="仿宋" w:hAnsi="仿宋" w:eastAsia="仿宋"/>
          <w:b w:val="0"/>
          <w:bCs w:val="0"/>
        </w:rPr>
        <w:t>国有资本经营预算财政拨款支出决算表</w:t>
      </w:r>
      <w:r>
        <w:rPr>
          <w:rFonts w:hint="eastAsia" w:ascii="仿宋_GB2312" w:eastAsia="仿宋_GB2312"/>
          <w:b w:val="0"/>
          <w:bCs w:val="0"/>
          <w:color w:val="auto"/>
          <w:sz w:val="32"/>
          <w:szCs w:val="32"/>
          <w:highlight w:val="none"/>
          <w:lang w:val="en-US" w:eastAsia="zh-CN"/>
        </w:rPr>
        <w:t>（此表无数据）</w:t>
      </w:r>
      <w:bookmarkEnd w:id="102"/>
    </w:p>
    <w:p>
      <w:pPr>
        <w:pStyle w:val="4"/>
        <w:rPr>
          <w:rFonts w:eastAsia="仿宋"/>
        </w:rPr>
      </w:pPr>
      <w:bookmarkStart w:id="103" w:name="_Toc15396631"/>
      <w:bookmarkStart w:id="104" w:name="_Toc32326"/>
      <w:r>
        <w:rPr>
          <w:rStyle w:val="25"/>
          <w:rFonts w:hint="eastAsia" w:ascii="仿宋" w:hAnsi="仿宋" w:eastAsia="仿宋"/>
          <w:b w:val="0"/>
          <w:bCs w:val="0"/>
        </w:rPr>
        <w:t>十三、</w:t>
      </w:r>
      <w:bookmarkEnd w:id="103"/>
      <w:r>
        <w:rPr>
          <w:rStyle w:val="25"/>
          <w:rFonts w:hint="eastAsia" w:ascii="仿宋" w:hAnsi="仿宋" w:eastAsia="仿宋"/>
          <w:b w:val="0"/>
          <w:bCs w:val="0"/>
        </w:rPr>
        <w:t>财政拨款“三公”经费支出决算表</w:t>
      </w:r>
      <w:bookmarkEnd w:id="104"/>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OGJlYjAzMjdlMjI3MTc3MGY4MzU4NDE4NmF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D30"/>
    <w:rsid w:val="00114E9B"/>
    <w:rsid w:val="0012399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950"/>
    <w:rsid w:val="00260C38"/>
    <w:rsid w:val="00260C9E"/>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B39"/>
    <w:rsid w:val="00471401"/>
    <w:rsid w:val="00473F31"/>
    <w:rsid w:val="0048263A"/>
    <w:rsid w:val="0048594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FFC"/>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86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24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B1F5E"/>
    <w:rsid w:val="026D4C66"/>
    <w:rsid w:val="053A62B5"/>
    <w:rsid w:val="07F47A40"/>
    <w:rsid w:val="0A2032A3"/>
    <w:rsid w:val="0B8A37D8"/>
    <w:rsid w:val="10C055FF"/>
    <w:rsid w:val="118107EC"/>
    <w:rsid w:val="11DD6519"/>
    <w:rsid w:val="129732CF"/>
    <w:rsid w:val="15B4775A"/>
    <w:rsid w:val="16216CE6"/>
    <w:rsid w:val="16BB723D"/>
    <w:rsid w:val="16F05D79"/>
    <w:rsid w:val="18015F3F"/>
    <w:rsid w:val="1ADF238C"/>
    <w:rsid w:val="1BE8440E"/>
    <w:rsid w:val="1D155CEE"/>
    <w:rsid w:val="1D860DFA"/>
    <w:rsid w:val="1D9A259A"/>
    <w:rsid w:val="1FC80C4F"/>
    <w:rsid w:val="20771BF2"/>
    <w:rsid w:val="20F57F95"/>
    <w:rsid w:val="213D605E"/>
    <w:rsid w:val="23F27984"/>
    <w:rsid w:val="240371BF"/>
    <w:rsid w:val="25711CC6"/>
    <w:rsid w:val="25C741E6"/>
    <w:rsid w:val="26A61FB0"/>
    <w:rsid w:val="27842671"/>
    <w:rsid w:val="286D547B"/>
    <w:rsid w:val="29FD04D3"/>
    <w:rsid w:val="2A7337FE"/>
    <w:rsid w:val="2ABE7A3E"/>
    <w:rsid w:val="2C7E38C5"/>
    <w:rsid w:val="2CA234A8"/>
    <w:rsid w:val="2DEC299E"/>
    <w:rsid w:val="2EFA178C"/>
    <w:rsid w:val="30953E20"/>
    <w:rsid w:val="30B46D73"/>
    <w:rsid w:val="30BC6FA0"/>
    <w:rsid w:val="319F7F4E"/>
    <w:rsid w:val="372D46F9"/>
    <w:rsid w:val="383D272C"/>
    <w:rsid w:val="39AE70AB"/>
    <w:rsid w:val="3C0C0783"/>
    <w:rsid w:val="3C6B7ACC"/>
    <w:rsid w:val="3D9F7A2D"/>
    <w:rsid w:val="3F9F3A96"/>
    <w:rsid w:val="403757A8"/>
    <w:rsid w:val="41911D83"/>
    <w:rsid w:val="4230191A"/>
    <w:rsid w:val="42A0008C"/>
    <w:rsid w:val="46BA23DA"/>
    <w:rsid w:val="47CE5856"/>
    <w:rsid w:val="48BF60AB"/>
    <w:rsid w:val="493C27E9"/>
    <w:rsid w:val="496F39ED"/>
    <w:rsid w:val="497A30FC"/>
    <w:rsid w:val="49EA0103"/>
    <w:rsid w:val="49FF41D3"/>
    <w:rsid w:val="4B3F1869"/>
    <w:rsid w:val="4BE068DB"/>
    <w:rsid w:val="4BF6002B"/>
    <w:rsid w:val="4D6D137B"/>
    <w:rsid w:val="4ECE2238"/>
    <w:rsid w:val="51CE66DB"/>
    <w:rsid w:val="51DB4B86"/>
    <w:rsid w:val="538A5E02"/>
    <w:rsid w:val="54A454D1"/>
    <w:rsid w:val="55333C3E"/>
    <w:rsid w:val="56FD5263"/>
    <w:rsid w:val="574865E8"/>
    <w:rsid w:val="59D20424"/>
    <w:rsid w:val="5AE1122D"/>
    <w:rsid w:val="5B9F0D8F"/>
    <w:rsid w:val="5D0336DD"/>
    <w:rsid w:val="62ED0DF3"/>
    <w:rsid w:val="63462575"/>
    <w:rsid w:val="64CA39A1"/>
    <w:rsid w:val="65165F77"/>
    <w:rsid w:val="659A63C7"/>
    <w:rsid w:val="66617381"/>
    <w:rsid w:val="67051E0D"/>
    <w:rsid w:val="6838727B"/>
    <w:rsid w:val="69630ADE"/>
    <w:rsid w:val="6A8D413B"/>
    <w:rsid w:val="6C4A05C8"/>
    <w:rsid w:val="6D3B1A89"/>
    <w:rsid w:val="703B0F88"/>
    <w:rsid w:val="71BF4EC2"/>
    <w:rsid w:val="72734D90"/>
    <w:rsid w:val="7412278C"/>
    <w:rsid w:val="7614205F"/>
    <w:rsid w:val="76A96C4B"/>
    <w:rsid w:val="789E0A6F"/>
    <w:rsid w:val="794013BD"/>
    <w:rsid w:val="79E7B28D"/>
    <w:rsid w:val="7A3D62A8"/>
    <w:rsid w:val="7D4C4F1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c:f>
              <c:strCache>
                <c:ptCount val="1"/>
                <c:pt idx="0">
                  <c:v>收支总体情况图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2021年</c:v>
                </c:pt>
                <c:pt idx="1">
                  <c:v>2022年</c:v>
                </c:pt>
              </c:strCache>
            </c:strRef>
          </c:cat>
          <c:val>
            <c:numRef>
              <c:f>[工作簿1]Sheet1!$B$2:$B$3</c:f>
              <c:numCache>
                <c:formatCode>General</c:formatCode>
                <c:ptCount val="2"/>
                <c:pt idx="0">
                  <c:v>9904.63</c:v>
                </c:pt>
                <c:pt idx="1">
                  <c:v>9718.62</c:v>
                </c:pt>
              </c:numCache>
            </c:numRef>
          </c:val>
        </c:ser>
        <c:dLbls>
          <c:showLegendKey val="0"/>
          <c:showVal val="1"/>
          <c:showCatName val="0"/>
          <c:showSerName val="0"/>
          <c:showPercent val="0"/>
          <c:showBubbleSize val="0"/>
        </c:dLbls>
        <c:gapWidth val="219"/>
        <c:overlap val="-27"/>
        <c:axId val="673765346"/>
        <c:axId val="633456729"/>
      </c:barChart>
      <c:catAx>
        <c:axId val="67376534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456729"/>
        <c:crosses val="autoZero"/>
        <c:auto val="1"/>
        <c:lblAlgn val="ctr"/>
        <c:lblOffset val="100"/>
        <c:noMultiLvlLbl val="0"/>
      </c:catAx>
      <c:valAx>
        <c:axId val="6334567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7653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支出明细占比情况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教育支出</c:v>
                </c:pt>
                <c:pt idx="1">
                  <c:v>社会保障和就业支出</c:v>
                </c:pt>
                <c:pt idx="2">
                  <c:v>住房保障支出</c:v>
                </c:pt>
              </c:strCache>
            </c:strRef>
          </c:cat>
          <c:val>
            <c:numRef>
              <c:f>[工作簿1]Sheet1!$B$1:$B$3</c:f>
              <c:numCache>
                <c:formatCode>General</c:formatCode>
                <c:ptCount val="3"/>
                <c:pt idx="0">
                  <c:v>8272.62</c:v>
                </c:pt>
                <c:pt idx="1">
                  <c:v>530.57</c:v>
                </c:pt>
                <c:pt idx="2">
                  <c:v>529.71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三公经费占比情况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hade val="65000"/>
                </a:schemeClr>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tint val="65000"/>
                </a:schemeClr>
              </a:solidFill>
              <a:ln w="19050">
                <a:solidFill>
                  <a:schemeClr val="lt1"/>
                </a:solidFill>
              </a:ln>
              <a:effectLst/>
            </c:spPr>
          </c:dPt>
          <c:dLbls>
            <c:dLbl>
              <c:idx val="0"/>
              <c:layout>
                <c:manualLayout>
                  <c:x val="0.0166659839331647"/>
                  <c:y val="0.0911481481495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2"/>
                        </a:solidFill>
                      </a:rPr>
                      <a:t>因公出国（境）费0%</a:t>
                    </a:r>
                    <a:endParaRPr>
                      <a:solidFill>
                        <a:schemeClr val="tx2"/>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552083333333333"/>
                      <c:h val="0.128703703703704"/>
                    </c:manualLayout>
                  </c15:layout>
                </c:ext>
              </c:extLst>
            </c:dLbl>
            <c:dLbl>
              <c:idx val="1"/>
              <c:layout>
                <c:manualLayout>
                  <c:x val="0.0326967765919768"/>
                  <c:y val="-0.089721983438535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2"/>
                        </a:solidFill>
                      </a:rPr>
                      <a:t>公务用车购置及运行维护费79%</a:t>
                    </a:r>
                    <a:endParaRPr>
                      <a:solidFill>
                        <a:schemeClr val="tx2"/>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9861111111111"/>
                      <c:h val="0.163888888888889"/>
                    </c:manualLayout>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2"/>
                        </a:solidFill>
                      </a:rPr>
                      <a:t>公务接待费21%</a:t>
                    </a:r>
                    <a:endParaRPr>
                      <a:solidFill>
                        <a:schemeClr val="tx2"/>
                      </a:solidFill>
                    </a:endParaRP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[工作簿1]Sheet1!$A$27:$A$29</c:f>
              <c:strCache>
                <c:ptCount val="3"/>
                <c:pt idx="0">
                  <c:v>因公出国（境）费</c:v>
                </c:pt>
                <c:pt idx="1">
                  <c:v>公务用车购置及运行维护费</c:v>
                </c:pt>
                <c:pt idx="2">
                  <c:v>公务接待费</c:v>
                </c:pt>
              </c:strCache>
            </c:strRef>
          </c:cat>
          <c:val>
            <c:numRef>
              <c:f>[工作簿1]Sheet1!$B$27:$B$29</c:f>
              <c:numCache>
                <c:formatCode>General</c:formatCode>
                <c:ptCount val="3"/>
                <c:pt idx="0">
                  <c:v>0</c:v>
                </c:pt>
                <c:pt idx="1">
                  <c:v>1.9</c:v>
                </c:pt>
                <c:pt idx="2">
                  <c:v>0.51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4968</Words>
  <Characters>5496</Characters>
  <Lines>41</Lines>
  <Paragraphs>11</Paragraphs>
  <TotalTime>62</TotalTime>
  <ScaleCrop>false</ScaleCrop>
  <LinksUpToDate>false</LinksUpToDate>
  <CharactersWithSpaces>5620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云渺渺</cp:lastModifiedBy>
  <cp:lastPrinted>2023-07-31T02:35:00Z</cp:lastPrinted>
  <dcterms:modified xsi:type="dcterms:W3CDTF">2023-09-15T02:57:06Z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4ACD7E349B784332BC185C362EF01B86_12</vt:lpwstr>
  </property>
</Properties>
</file>